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80D1" w14:textId="0AEA891A" w:rsidR="00013A11" w:rsidRDefault="00C14CB9">
      <w:pPr>
        <w:rPr>
          <w:b/>
          <w:lang w:val="en-AU"/>
        </w:rPr>
      </w:pPr>
      <w:r w:rsidRPr="00C14CB9">
        <w:rPr>
          <w:b/>
          <w:lang w:val="en-AU"/>
        </w:rPr>
        <w:t>Supplementary Method</w:t>
      </w:r>
      <w:r>
        <w:rPr>
          <w:b/>
          <w:lang w:val="en-AU"/>
        </w:rPr>
        <w:t>ological Detail</w:t>
      </w:r>
    </w:p>
    <w:p w14:paraId="629A6569" w14:textId="58316B79" w:rsidR="00BE4F7D" w:rsidRDefault="00BE4F7D">
      <w:pPr>
        <w:rPr>
          <w:b/>
          <w:lang w:val="en-AU"/>
        </w:rPr>
      </w:pPr>
    </w:p>
    <w:p w14:paraId="7AF4E43C" w14:textId="06D9A5D5" w:rsidR="00BE4F7D" w:rsidRDefault="005E052C">
      <w:pPr>
        <w:rPr>
          <w:i/>
          <w:lang w:val="en-AU"/>
        </w:rPr>
      </w:pPr>
      <w:proofErr w:type="spellStart"/>
      <w:r>
        <w:rPr>
          <w:i/>
          <w:lang w:val="en-AU"/>
        </w:rPr>
        <w:t>MtDNA</w:t>
      </w:r>
      <w:proofErr w:type="spellEnd"/>
      <w:r>
        <w:rPr>
          <w:i/>
          <w:lang w:val="en-AU"/>
        </w:rPr>
        <w:t xml:space="preserve"> </w:t>
      </w:r>
      <w:r w:rsidR="00D15EF4">
        <w:rPr>
          <w:i/>
          <w:lang w:val="en-AU"/>
        </w:rPr>
        <w:t xml:space="preserve">preparation and </w:t>
      </w:r>
      <w:r>
        <w:rPr>
          <w:i/>
          <w:lang w:val="en-AU"/>
        </w:rPr>
        <w:t>analysis</w:t>
      </w:r>
    </w:p>
    <w:p w14:paraId="77B97A75" w14:textId="219BE44D" w:rsidR="005E052C" w:rsidRDefault="005E052C">
      <w:pPr>
        <w:rPr>
          <w:i/>
          <w:lang w:val="en-AU"/>
        </w:rPr>
      </w:pPr>
    </w:p>
    <w:p w14:paraId="749212F2" w14:textId="58EA8069" w:rsidR="005E052C" w:rsidRPr="00BE4F7D" w:rsidRDefault="005E052C">
      <w:pPr>
        <w:rPr>
          <w:i/>
          <w:lang w:val="en-AU"/>
        </w:rPr>
      </w:pPr>
      <w:r>
        <w:rPr>
          <w:rFonts w:cs="Times New Roman"/>
        </w:rPr>
        <w:t xml:space="preserve">The third molar from E224 was </w:t>
      </w:r>
      <w:r w:rsidRPr="000954E5">
        <w:rPr>
          <w:rFonts w:cs="Times New Roman"/>
        </w:rPr>
        <w:t xml:space="preserve">logged into the database </w:t>
      </w:r>
      <w:r w:rsidR="00690D3E">
        <w:rPr>
          <w:rFonts w:cs="Times New Roman"/>
        </w:rPr>
        <w:t xml:space="preserve">at the </w:t>
      </w:r>
      <w:r w:rsidR="00690D3E" w:rsidRPr="000954E5">
        <w:rPr>
          <w:rFonts w:cs="Times New Roman"/>
        </w:rPr>
        <w:t xml:space="preserve"> dedicated </w:t>
      </w:r>
      <w:proofErr w:type="spellStart"/>
      <w:r w:rsidR="00690D3E" w:rsidRPr="000954E5">
        <w:rPr>
          <w:rFonts w:cs="Times New Roman"/>
        </w:rPr>
        <w:t>aDNA</w:t>
      </w:r>
      <w:proofErr w:type="spellEnd"/>
      <w:r w:rsidR="00690D3E" w:rsidRPr="000954E5">
        <w:rPr>
          <w:rFonts w:cs="Times New Roman"/>
        </w:rPr>
        <w:t xml:space="preserve"> lab at the University of Otago</w:t>
      </w:r>
      <w:r w:rsidR="009402A3">
        <w:rPr>
          <w:rFonts w:cs="Times New Roman"/>
        </w:rPr>
        <w:t xml:space="preserve"> </w:t>
      </w:r>
      <w:r w:rsidR="00C12252">
        <w:rPr>
          <w:rFonts w:cs="Times New Roman"/>
        </w:rPr>
        <w:fldChar w:fldCharType="begin"/>
      </w:r>
      <w:r w:rsidR="008E551B">
        <w:rPr>
          <w:rFonts w:cs="Times New Roman"/>
        </w:rPr>
        <w:instrText xml:space="preserve"> ADDIN EN.CITE &lt;EndNote&gt;&lt;Cite&gt;&lt;Author&gt;Knapp&lt;/Author&gt;&lt;Year&gt;2012&lt;/Year&gt;&lt;RecNum&gt;3716&lt;/RecNum&gt;&lt;DisplayText&gt;(Knapp&lt;style face="italic"&gt; et al.&lt;/style&gt; 2012)&lt;/DisplayText&gt;&lt;record&gt;&lt;rec-number&gt;3716&lt;/rec-number&gt;&lt;foreign-keys&gt;&lt;key app="EN" db-id="wwv02z0t0tsez4espzc5d5rzw0p05vwftxzp" timestamp="1359060032"&gt;3716&lt;/key&gt;&lt;/foreign-keys&gt;&lt;ref-type name="Journal Article"&gt;17&lt;/ref-type&gt;&lt;contributors&gt;&lt;authors&gt;&lt;author&gt;Knapp, M.&lt;/author&gt;&lt;author&gt;Horsburgh, K.A.&lt;/author&gt;&lt;author&gt;Prost, S.&lt;/author&gt;&lt;author&gt;Stanton, J.&lt;/author&gt;&lt;author&gt;Buckley, H.&lt;/author&gt;&lt;author&gt;Walter, R.K.&lt;/author&gt;&lt;author&gt;Matisoo-Smith, E.A.&lt;/author&gt;&lt;/authors&gt;&lt;/contributors&gt;&lt;titles&gt;&lt;title&gt;Complete mitochondrial DNA genome sequences from the first New Zealanders&lt;/title&gt;&lt;secondary-title&gt;Proceedings of the National Academy of Sciences of the United States of America&lt;/secondary-title&gt;&lt;/titles&gt;&lt;periodical&gt;&lt;full-title&gt;Proceedings of the National Academy of Sciences of the United States of America&lt;/full-title&gt;&lt;/periodical&gt;&lt;dates&gt;&lt;year&gt;2012&lt;/year&gt;&lt;/dates&gt;&lt;urls&gt;&lt;/urls&gt;&lt;electronic-resource-num&gt;10.1073/pnas.1209896109&lt;/electronic-resource-num&gt;&lt;/record&gt;&lt;/Cite&gt;&lt;/EndNote&gt;</w:instrText>
      </w:r>
      <w:r w:rsidR="00C12252">
        <w:rPr>
          <w:rFonts w:cs="Times New Roman"/>
        </w:rPr>
        <w:fldChar w:fldCharType="separate"/>
      </w:r>
      <w:r w:rsidR="008E551B">
        <w:rPr>
          <w:rFonts w:cs="Times New Roman"/>
          <w:noProof/>
        </w:rPr>
        <w:t>(Knapp</w:t>
      </w:r>
      <w:r w:rsidR="008E551B" w:rsidRPr="008E551B">
        <w:rPr>
          <w:rFonts w:cs="Times New Roman"/>
          <w:i/>
          <w:noProof/>
        </w:rPr>
        <w:t xml:space="preserve"> et al.</w:t>
      </w:r>
      <w:r w:rsidR="008E551B">
        <w:rPr>
          <w:rFonts w:cs="Times New Roman"/>
          <w:noProof/>
        </w:rPr>
        <w:t xml:space="preserve"> 2012)</w:t>
      </w:r>
      <w:r w:rsidR="00C12252">
        <w:rPr>
          <w:rFonts w:cs="Times New Roman"/>
        </w:rPr>
        <w:fldChar w:fldCharType="end"/>
      </w:r>
      <w:r w:rsidR="00690D3E">
        <w:rPr>
          <w:rFonts w:cs="Times New Roman"/>
        </w:rPr>
        <w:t xml:space="preserve">, </w:t>
      </w:r>
      <w:r w:rsidRPr="000954E5">
        <w:rPr>
          <w:rFonts w:cs="Times New Roman"/>
        </w:rPr>
        <w:t>as sample number MS10669 and processed. After sterilization via bleach and UV exposure, DNA was extracted from ~200mg of ground tooth using a standard silica-based protocol</w:t>
      </w:r>
      <w:r>
        <w:rPr>
          <w:rFonts w:cs="Times New Roman"/>
        </w:rPr>
        <w:t xml:space="preserve">; </w:t>
      </w:r>
      <w:r w:rsidRPr="000954E5">
        <w:rPr>
          <w:rFonts w:cs="Times New Roman"/>
        </w:rPr>
        <w:t xml:space="preserve">libraries were prepared and the mitochondrial genome was enriched via a modified in-solution </w:t>
      </w:r>
      <w:proofErr w:type="spellStart"/>
      <w:r w:rsidRPr="000954E5">
        <w:rPr>
          <w:rFonts w:cs="Times New Roman"/>
        </w:rPr>
        <w:t>hybrization</w:t>
      </w:r>
      <w:proofErr w:type="spellEnd"/>
      <w:r w:rsidRPr="000954E5">
        <w:rPr>
          <w:rFonts w:cs="Times New Roman"/>
        </w:rPr>
        <w:t xml:space="preserve"> capture</w:t>
      </w:r>
      <w:r>
        <w:rPr>
          <w:rFonts w:cs="Times New Roman"/>
        </w:rPr>
        <w:t>;</w:t>
      </w:r>
      <w:r w:rsidRPr="000954E5">
        <w:t xml:space="preserve"> the enriched library was sequenced on an Illumina </w:t>
      </w:r>
      <w:proofErr w:type="spellStart"/>
      <w:r w:rsidRPr="000954E5">
        <w:t>MiSeq</w:t>
      </w:r>
      <w:proofErr w:type="spellEnd"/>
      <w:r w:rsidRPr="000954E5">
        <w:t xml:space="preserve"> platform</w:t>
      </w:r>
      <w:r>
        <w:t>;</w:t>
      </w:r>
      <w:r w:rsidRPr="000954E5">
        <w:t xml:space="preserve"> and sequencing data </w:t>
      </w:r>
      <w:r>
        <w:t xml:space="preserve">were </w:t>
      </w:r>
      <w:r w:rsidRPr="000954E5">
        <w:t>processed all as described previously</w:t>
      </w:r>
      <w:r w:rsidRPr="000954E5">
        <w:rPr>
          <w:rFonts w:cs="Times New Roman"/>
        </w:rPr>
        <w:t xml:space="preserve"> </w:t>
      </w:r>
      <w:r w:rsidRPr="000954E5">
        <w:rPr>
          <w:rFonts w:cs="Times New Roman"/>
        </w:rPr>
        <w:fldChar w:fldCharType="begin"/>
      </w:r>
      <w:r w:rsidR="008E551B">
        <w:rPr>
          <w:rFonts w:cs="Times New Roman"/>
        </w:rPr>
        <w:instrText xml:space="preserve"> ADDIN EN.CITE &lt;EndNote&gt;&lt;Cite&gt;&lt;Author&gt;Matisoo-Smith&lt;/Author&gt;&lt;Year&gt;2016&lt;/Year&gt;&lt;RecNum&gt;4317&lt;/RecNum&gt;&lt;DisplayText&gt;(Matisoo-Smith&lt;style face="italic"&gt; et al.&lt;/style&gt; 2016)&lt;/DisplayText&gt;&lt;record&gt;&lt;rec-number&gt;4317&lt;/rec-number&gt;&lt;foreign-keys&gt;&lt;key app="EN" db-id="wwv02z0t0tsez4espzc5d5rzw0p05vwftxzp" timestamp="1597612874"&gt;4317&lt;/key&gt;&lt;/foreign-keys&gt;&lt;ref-type name="Journal Article"&gt;17&lt;/ref-type&gt;&lt;contributors&gt;&lt;authors&gt;&lt;author&gt;Matisoo-Smith, E.&lt;/author&gt;&lt;author&gt;Gosling, A.&lt;/author&gt;&lt;author&gt;Boocock, J.&lt;/author&gt;&lt;author&gt;Kardailsky, O.&lt;/author&gt;&lt;author&gt;Kurumilian, Y.&lt;/author&gt;&lt;author&gt;Roudesli-Chebbi, S.&lt;/author&gt;&lt;author&gt;Badre, L.&lt;/author&gt;&lt;author&gt;Morel, J-P.&lt;/author&gt;&lt;author&gt;Sebaï, L.&lt;/author&gt;&lt;author&gt;Zalloua, P.&lt;/author&gt;&lt;/authors&gt;&lt;/contributors&gt;&lt;titles&gt;&lt;title&gt;A European Mitochondrial Haplotype Identified in Ancient Phoenician Remains from Carthage, North Africa&lt;/title&gt;&lt;secondary-title&gt;PLoS ONE &lt;/secondary-title&gt;&lt;/titles&gt;&lt;periodical&gt;&lt;full-title&gt;PLoS ONE&lt;/full-title&gt;&lt;/periodical&gt;&lt;pages&gt;e0155046&lt;/pages&gt;&lt;volume&gt;11&lt;/volume&gt;&lt;number&gt;5&lt;/number&gt;&lt;dates&gt;&lt;year&gt;2016&lt;/year&gt;&lt;/dates&gt;&lt;urls&gt;&lt;/urls&gt;&lt;/record&gt;&lt;/Cite&gt;&lt;/EndNote&gt;</w:instrText>
      </w:r>
      <w:r w:rsidRPr="000954E5">
        <w:rPr>
          <w:rFonts w:cs="Times New Roman"/>
        </w:rPr>
        <w:fldChar w:fldCharType="separate"/>
      </w:r>
      <w:r w:rsidR="008E551B">
        <w:rPr>
          <w:rFonts w:cs="Times New Roman"/>
          <w:noProof/>
        </w:rPr>
        <w:t>(Matisoo-Smith</w:t>
      </w:r>
      <w:r w:rsidR="008E551B" w:rsidRPr="008E551B">
        <w:rPr>
          <w:rFonts w:cs="Times New Roman"/>
          <w:i/>
          <w:noProof/>
        </w:rPr>
        <w:t xml:space="preserve"> et al.</w:t>
      </w:r>
      <w:r w:rsidR="008E551B">
        <w:rPr>
          <w:rFonts w:cs="Times New Roman"/>
          <w:noProof/>
        </w:rPr>
        <w:t xml:space="preserve"> 2016)</w:t>
      </w:r>
      <w:r w:rsidRPr="000954E5">
        <w:rPr>
          <w:rFonts w:cs="Times New Roman"/>
        </w:rPr>
        <w:fldChar w:fldCharType="end"/>
      </w:r>
      <w:r w:rsidRPr="000954E5">
        <w:rPr>
          <w:rFonts w:cs="Times New Roman"/>
        </w:rPr>
        <w:t xml:space="preserve">. Fragment length and damage patterns, obtained using </w:t>
      </w:r>
      <w:proofErr w:type="spellStart"/>
      <w:r w:rsidRPr="000954E5">
        <w:rPr>
          <w:rFonts w:cs="Times New Roman"/>
        </w:rPr>
        <w:t>MapDamage</w:t>
      </w:r>
      <w:proofErr w:type="spellEnd"/>
      <w:r w:rsidRPr="000954E5">
        <w:rPr>
          <w:rFonts w:cs="Times New Roman"/>
        </w:rPr>
        <w:t xml:space="preserve"> </w:t>
      </w:r>
      <w:r w:rsidRPr="000954E5">
        <w:rPr>
          <w:rFonts w:cs="Times New Roman"/>
        </w:rPr>
        <w:fldChar w:fldCharType="begin"/>
      </w:r>
      <w:r w:rsidR="008E551B">
        <w:rPr>
          <w:rFonts w:cs="Times New Roman"/>
        </w:rPr>
        <w:instrText xml:space="preserve"> ADDIN EN.CITE &lt;EndNote&gt;&lt;Cite&gt;&lt;Author&gt;Ginolhac&lt;/Author&gt;&lt;Year&gt;2011&lt;/Year&gt;&lt;RecNum&gt;4318&lt;/RecNum&gt;&lt;DisplayText&gt;(Ginolhac&lt;style face="italic"&gt; et al.&lt;/style&gt; 2011)&lt;/DisplayText&gt;&lt;record&gt;&lt;rec-number&gt;4318&lt;/rec-number&gt;&lt;foreign-keys&gt;&lt;key app="EN" db-id="wwv02z0t0tsez4espzc5d5rzw0p05vwftxzp" timestamp="1597613267"&gt;4318&lt;/key&gt;&lt;/foreign-keys&gt;&lt;ref-type name="Journal Article"&gt;17&lt;/ref-type&gt;&lt;contributors&gt;&lt;authors&gt;&lt;author&gt;Ginolhac, A. &lt;/author&gt;&lt;author&gt;Rasmussen, M.&lt;/author&gt;&lt;author&gt;Gilbert, M. &lt;/author&gt;&lt;author&gt;Willerslev, E.&lt;/author&gt;&lt;author&gt;Orlando, L. &lt;/author&gt;&lt;/authors&gt;&lt;/contributors&gt;&lt;titles&gt;&lt;title&gt;mapDamage: testing for damage patterns in ancient DNA sequences&lt;/title&gt;&lt;secondary-title&gt;Bioinformatics &lt;/secondary-title&gt;&lt;/titles&gt;&lt;periodical&gt;&lt;full-title&gt;Bioinformatics&lt;/full-title&gt;&lt;/periodical&gt;&lt;pages&gt;2153-2155&lt;/pages&gt;&lt;volume&gt;27&lt;/volume&gt;&lt;number&gt;15&lt;/number&gt;&lt;dates&gt;&lt;year&gt;2011&lt;/year&gt;&lt;/dates&gt;&lt;urls&gt;&lt;/urls&gt;&lt;/record&gt;&lt;/Cite&gt;&lt;/EndNote&gt;</w:instrText>
      </w:r>
      <w:r w:rsidRPr="000954E5">
        <w:rPr>
          <w:rFonts w:cs="Times New Roman"/>
        </w:rPr>
        <w:fldChar w:fldCharType="separate"/>
      </w:r>
      <w:r w:rsidR="008E551B">
        <w:rPr>
          <w:rFonts w:cs="Times New Roman"/>
          <w:noProof/>
        </w:rPr>
        <w:t>(Ginolhac</w:t>
      </w:r>
      <w:r w:rsidR="008E551B" w:rsidRPr="008E551B">
        <w:rPr>
          <w:rFonts w:cs="Times New Roman"/>
          <w:i/>
          <w:noProof/>
        </w:rPr>
        <w:t xml:space="preserve"> et al.</w:t>
      </w:r>
      <w:r w:rsidR="008E551B">
        <w:rPr>
          <w:rFonts w:cs="Times New Roman"/>
          <w:noProof/>
        </w:rPr>
        <w:t xml:space="preserve"> 2011)</w:t>
      </w:r>
      <w:r w:rsidRPr="000954E5">
        <w:rPr>
          <w:rFonts w:cs="Times New Roman"/>
        </w:rPr>
        <w:fldChar w:fldCharType="end"/>
      </w:r>
      <w:r w:rsidRPr="000954E5">
        <w:rPr>
          <w:rFonts w:cs="Times New Roman"/>
        </w:rPr>
        <w:t>, were consistent with ancient DNA samples of historic age.</w:t>
      </w:r>
    </w:p>
    <w:p w14:paraId="788F4D07" w14:textId="2C8AFE7B" w:rsidR="00C14CB9" w:rsidRDefault="00C14CB9">
      <w:pPr>
        <w:rPr>
          <w:i/>
          <w:lang w:val="en-AU"/>
        </w:rPr>
      </w:pPr>
    </w:p>
    <w:p w14:paraId="56BF430A" w14:textId="77777777" w:rsidR="00D71672" w:rsidRDefault="00D71672" w:rsidP="00D71672">
      <w:pPr>
        <w:autoSpaceDE w:val="0"/>
        <w:autoSpaceDN w:val="0"/>
        <w:adjustRightInd w:val="0"/>
        <w:jc w:val="both"/>
        <w:rPr>
          <w:rFonts w:ascii="Calibri" w:hAnsi="Calibri" w:cs="Calibri"/>
          <w:i/>
          <w:color w:val="231F20"/>
          <w:lang w:val="en-US"/>
        </w:rPr>
      </w:pPr>
      <w:r>
        <w:rPr>
          <w:rFonts w:ascii="Calibri" w:hAnsi="Calibri" w:cs="Calibri"/>
          <w:i/>
          <w:color w:val="231F20"/>
          <w:lang w:val="en-US"/>
        </w:rPr>
        <w:t xml:space="preserve">Sampling procedure </w:t>
      </w:r>
      <w:r w:rsidRPr="00BB1061">
        <w:rPr>
          <w:rFonts w:ascii="Calibri" w:hAnsi="Calibri" w:cs="Calibri"/>
          <w:i/>
          <w:color w:val="231F20"/>
          <w:lang w:val="en-US"/>
        </w:rPr>
        <w:t xml:space="preserve">for </w:t>
      </w:r>
      <w:r w:rsidRPr="00BB1061">
        <w:rPr>
          <w:rFonts w:ascii="Symbol" w:hAnsi="Symbol"/>
          <w:i/>
        </w:rPr>
        <w:t></w:t>
      </w:r>
      <w:r w:rsidRPr="00BB1061">
        <w:rPr>
          <w:i/>
          <w:vertAlign w:val="superscript"/>
        </w:rPr>
        <w:t>13</w:t>
      </w:r>
      <w:r w:rsidRPr="00BB1061">
        <w:rPr>
          <w:i/>
        </w:rPr>
        <w:t xml:space="preserve">C and </w:t>
      </w:r>
      <w:r w:rsidRPr="00BB1061">
        <w:rPr>
          <w:rFonts w:ascii="Symbol" w:hAnsi="Symbol"/>
          <w:i/>
        </w:rPr>
        <w:t></w:t>
      </w:r>
      <w:r w:rsidRPr="00BB1061">
        <w:rPr>
          <w:i/>
          <w:vertAlign w:val="superscript"/>
        </w:rPr>
        <w:t>15</w:t>
      </w:r>
      <w:r w:rsidRPr="00BB1061">
        <w:rPr>
          <w:i/>
        </w:rPr>
        <w:t>N analysis of dentine</w:t>
      </w:r>
    </w:p>
    <w:p w14:paraId="027BC78E" w14:textId="77777777" w:rsidR="00D71672" w:rsidRDefault="00D71672" w:rsidP="00D71672">
      <w:pPr>
        <w:autoSpaceDE w:val="0"/>
        <w:autoSpaceDN w:val="0"/>
        <w:adjustRightInd w:val="0"/>
        <w:jc w:val="both"/>
        <w:rPr>
          <w:rFonts w:ascii="Calibri" w:hAnsi="Calibri" w:cs="Calibri"/>
          <w:i/>
          <w:color w:val="231F20"/>
          <w:lang w:val="en-US"/>
        </w:rPr>
      </w:pPr>
    </w:p>
    <w:p w14:paraId="61A33BCB" w14:textId="496E0730" w:rsidR="00D71672" w:rsidRDefault="00D71672" w:rsidP="00D71672">
      <w:pPr>
        <w:autoSpaceDE w:val="0"/>
        <w:autoSpaceDN w:val="0"/>
        <w:adjustRightInd w:val="0"/>
        <w:jc w:val="both"/>
        <w:rPr>
          <w:rFonts w:eastAsia="Calibri" w:cs="Times New Roman"/>
          <w:color w:val="000000" w:themeColor="text1"/>
        </w:rPr>
      </w:pPr>
      <w:r w:rsidRPr="002B69EA">
        <w:rPr>
          <w:rFonts w:eastAsia="Calibri" w:cs="Times New Roman"/>
          <w:color w:val="000000" w:themeColor="text1"/>
        </w:rPr>
        <w:t>The</w:t>
      </w:r>
      <w:r>
        <w:rPr>
          <w:rFonts w:eastAsia="Calibri" w:cs="Times New Roman"/>
          <w:color w:val="000000" w:themeColor="text1"/>
        </w:rPr>
        <w:t xml:space="preserve"> sampled </w:t>
      </w:r>
      <w:r w:rsidRPr="002B69EA">
        <w:rPr>
          <w:rFonts w:eastAsia="Calibri" w:cs="Times New Roman"/>
          <w:color w:val="000000" w:themeColor="text1"/>
        </w:rPr>
        <w:t>tooth was abraded with a rose-head dental burr to remove surface contamination, and enamel was removed and reserved for strontium analysis. The prepared tooth was</w:t>
      </w:r>
      <w:r>
        <w:rPr>
          <w:rFonts w:eastAsia="Calibri" w:cs="Times New Roman"/>
          <w:color w:val="000000" w:themeColor="text1"/>
        </w:rPr>
        <w:t xml:space="preserve"> then</w:t>
      </w:r>
      <w:r w:rsidRPr="002B69EA">
        <w:rPr>
          <w:rFonts w:eastAsia="Calibri" w:cs="Times New Roman"/>
          <w:color w:val="000000" w:themeColor="text1"/>
        </w:rPr>
        <w:t xml:space="preserve"> cut in half along its long axis with a diamond-tipped cutting blade to create a single-rooted longitudinal section. The result</w:t>
      </w:r>
      <w:r>
        <w:rPr>
          <w:rFonts w:eastAsia="Calibri" w:cs="Times New Roman"/>
          <w:color w:val="000000" w:themeColor="text1"/>
        </w:rPr>
        <w:t>ant</w:t>
      </w:r>
      <w:r w:rsidRPr="002B69EA">
        <w:rPr>
          <w:rFonts w:eastAsia="Calibri" w:cs="Times New Roman"/>
          <w:color w:val="000000" w:themeColor="text1"/>
        </w:rPr>
        <w:t xml:space="preserve"> half-section was embedded in a 50:50 mix of dental plaster and sectioned on the transverse plane using a Buehler </w:t>
      </w:r>
      <w:proofErr w:type="spellStart"/>
      <w:r w:rsidRPr="002B69EA">
        <w:rPr>
          <w:rFonts w:eastAsia="Calibri" w:cs="Times New Roman"/>
          <w:color w:val="000000" w:themeColor="text1"/>
        </w:rPr>
        <w:t>Isomet</w:t>
      </w:r>
      <w:proofErr w:type="spellEnd"/>
      <w:r w:rsidRPr="002B69EA">
        <w:rPr>
          <w:rFonts w:eastAsia="Calibri" w:cs="Times New Roman"/>
          <w:color w:val="000000" w:themeColor="text1"/>
        </w:rPr>
        <w:t xml:space="preserve"> 1000 precision saw fitted with a diamond abrasive wafering blade, a cooling water bath, and a digital </w:t>
      </w:r>
      <w:proofErr w:type="spellStart"/>
      <w:r w:rsidRPr="002B69EA">
        <w:rPr>
          <w:rFonts w:eastAsia="Calibri" w:cs="Times New Roman"/>
          <w:color w:val="000000" w:themeColor="text1"/>
        </w:rPr>
        <w:t>micrometer</w:t>
      </w:r>
      <w:proofErr w:type="spellEnd"/>
      <w:r w:rsidRPr="002B69EA">
        <w:rPr>
          <w:rFonts w:eastAsia="Calibri" w:cs="Times New Roman"/>
          <w:color w:val="000000" w:themeColor="text1"/>
        </w:rPr>
        <w:t xml:space="preserve"> set to 1mm, following Method 1 described by </w:t>
      </w:r>
      <w:r w:rsidR="00C12252">
        <w:rPr>
          <w:rFonts w:eastAsia="Calibri" w:cs="Times New Roman"/>
          <w:color w:val="000000" w:themeColor="text1"/>
        </w:rPr>
        <w:fldChar w:fldCharType="begin"/>
      </w:r>
      <w:r w:rsidR="008E551B">
        <w:rPr>
          <w:rFonts w:eastAsia="Calibri" w:cs="Times New Roman"/>
          <w:color w:val="000000" w:themeColor="text1"/>
        </w:rPr>
        <w:instrText xml:space="preserve"> ADDIN EN.CITE &lt;EndNote&gt;&lt;Cite&gt;&lt;Author&gt;Beaumont&lt;/Author&gt;&lt;Year&gt;2013&lt;/Year&gt;&lt;RecNum&gt;4346&lt;/RecNum&gt;&lt;DisplayText&gt;(Beaumont&lt;style face="italic"&gt; et al.&lt;/style&gt; 2013)&lt;/DisplayText&gt;&lt;record&gt;&lt;rec-number&gt;4346&lt;/rec-number&gt;&lt;foreign-keys&gt;&lt;key app="EN" db-id="wwv02z0t0tsez4espzc5d5rzw0p05vwftxzp" timestamp="1622774599"&gt;4346&lt;/key&gt;&lt;/foreign-keys&gt;&lt;ref-type name="Journal Article"&gt;17&lt;/ref-type&gt;&lt;contributors&gt;&lt;authors&gt;&lt;author&gt;Beaumont, J,&lt;/author&gt;&lt;author&gt;Gledhill, A.&lt;/author&gt;&lt;author&gt;Lee-Thorp, J.&lt;/author&gt;&lt;author&gt;Montgomery, J.&lt;/author&gt;&lt;/authors&gt;&lt;/contributors&gt;&lt;titles&gt;&lt;title&gt;Childhood diet: A closer examination of the evidence from dental tissues using stable isotope analysis of incremental human dentine.&lt;/title&gt;&lt;secondary-title&gt;Archaeometry&lt;/secondary-title&gt;&lt;/titles&gt;&lt;periodical&gt;&lt;full-title&gt;Archaeometry&lt;/full-title&gt;&lt;/periodical&gt;&lt;pages&gt;277–95.&lt;/pages&gt;&lt;volume&gt;55&lt;/volume&gt;&lt;number&gt;2&lt;/number&gt;&lt;dates&gt;&lt;year&gt;2013&lt;/year&gt;&lt;/dates&gt;&lt;urls&gt;&lt;/urls&gt;&lt;/record&gt;&lt;/Cite&gt;&lt;/EndNote&gt;</w:instrText>
      </w:r>
      <w:r w:rsidR="00C12252">
        <w:rPr>
          <w:rFonts w:eastAsia="Calibri" w:cs="Times New Roman"/>
          <w:color w:val="000000" w:themeColor="text1"/>
        </w:rPr>
        <w:fldChar w:fldCharType="separate"/>
      </w:r>
      <w:r w:rsidR="008E551B">
        <w:rPr>
          <w:rFonts w:eastAsia="Calibri" w:cs="Times New Roman"/>
          <w:noProof/>
          <w:color w:val="000000" w:themeColor="text1"/>
        </w:rPr>
        <w:t>(Beaumont</w:t>
      </w:r>
      <w:r w:rsidR="008E551B" w:rsidRPr="008E551B">
        <w:rPr>
          <w:rFonts w:eastAsia="Calibri" w:cs="Times New Roman"/>
          <w:i/>
          <w:noProof/>
          <w:color w:val="000000" w:themeColor="text1"/>
        </w:rPr>
        <w:t xml:space="preserve"> et al.</w:t>
      </w:r>
      <w:r w:rsidR="008E551B">
        <w:rPr>
          <w:rFonts w:eastAsia="Calibri" w:cs="Times New Roman"/>
          <w:noProof/>
          <w:color w:val="000000" w:themeColor="text1"/>
        </w:rPr>
        <w:t xml:space="preserve"> 2013)</w:t>
      </w:r>
      <w:r w:rsidR="00C12252">
        <w:rPr>
          <w:rFonts w:eastAsia="Calibri" w:cs="Times New Roman"/>
          <w:color w:val="000000" w:themeColor="text1"/>
        </w:rPr>
        <w:fldChar w:fldCharType="end"/>
      </w:r>
      <w:r w:rsidRPr="002B69EA">
        <w:rPr>
          <w:rFonts w:eastAsia="Calibri" w:cs="Times New Roman"/>
          <w:color w:val="000000" w:themeColor="text1"/>
        </w:rPr>
        <w:t xml:space="preserve">. </w:t>
      </w:r>
    </w:p>
    <w:p w14:paraId="4E39D734" w14:textId="77777777" w:rsidR="00D71672" w:rsidRDefault="00D71672" w:rsidP="00D71672">
      <w:pPr>
        <w:autoSpaceDE w:val="0"/>
        <w:autoSpaceDN w:val="0"/>
        <w:adjustRightInd w:val="0"/>
        <w:jc w:val="both"/>
        <w:rPr>
          <w:rFonts w:eastAsia="Calibri" w:cs="Times New Roman"/>
          <w:color w:val="000000" w:themeColor="text1"/>
        </w:rPr>
      </w:pPr>
    </w:p>
    <w:p w14:paraId="1C01CB6C" w14:textId="77777777" w:rsidR="00D71672" w:rsidRPr="00BB1061" w:rsidRDefault="00D71672" w:rsidP="00D71672">
      <w:pPr>
        <w:autoSpaceDE w:val="0"/>
        <w:autoSpaceDN w:val="0"/>
        <w:adjustRightInd w:val="0"/>
        <w:jc w:val="both"/>
        <w:rPr>
          <w:rFonts w:eastAsia="Calibri" w:cs="Times New Roman"/>
          <w:i/>
          <w:color w:val="000000" w:themeColor="text1"/>
        </w:rPr>
      </w:pPr>
      <w:r>
        <w:rPr>
          <w:rFonts w:eastAsia="Calibri" w:cs="Times New Roman"/>
          <w:i/>
          <w:color w:val="000000" w:themeColor="text1"/>
        </w:rPr>
        <w:t xml:space="preserve">Analytical </w:t>
      </w:r>
      <w:r w:rsidRPr="00BB1061">
        <w:rPr>
          <w:rFonts w:eastAsia="Calibri" w:cs="Times New Roman"/>
          <w:i/>
          <w:color w:val="000000" w:themeColor="text1"/>
        </w:rPr>
        <w:t xml:space="preserve">procedure for </w:t>
      </w:r>
      <w:r w:rsidRPr="00BB1061">
        <w:rPr>
          <w:rFonts w:ascii="Symbol" w:hAnsi="Symbol"/>
          <w:i/>
        </w:rPr>
        <w:t></w:t>
      </w:r>
      <w:r w:rsidRPr="00BB1061">
        <w:rPr>
          <w:i/>
          <w:vertAlign w:val="superscript"/>
        </w:rPr>
        <w:t>13</w:t>
      </w:r>
      <w:r w:rsidRPr="00BB1061">
        <w:rPr>
          <w:i/>
        </w:rPr>
        <w:t xml:space="preserve">C and </w:t>
      </w:r>
      <w:r w:rsidRPr="00BB1061">
        <w:rPr>
          <w:rFonts w:ascii="Symbol" w:hAnsi="Symbol"/>
          <w:i/>
        </w:rPr>
        <w:t></w:t>
      </w:r>
      <w:r w:rsidRPr="00BB1061">
        <w:rPr>
          <w:i/>
          <w:vertAlign w:val="superscript"/>
        </w:rPr>
        <w:t>15</w:t>
      </w:r>
      <w:r w:rsidRPr="00BB1061">
        <w:rPr>
          <w:i/>
        </w:rPr>
        <w:t>N analysis</w:t>
      </w:r>
    </w:p>
    <w:p w14:paraId="0BE5A66F" w14:textId="77777777" w:rsidR="00D71672" w:rsidRDefault="00D71672" w:rsidP="00D71672">
      <w:pPr>
        <w:autoSpaceDE w:val="0"/>
        <w:autoSpaceDN w:val="0"/>
        <w:adjustRightInd w:val="0"/>
        <w:jc w:val="both"/>
        <w:rPr>
          <w:rFonts w:eastAsia="Calibri" w:cs="Times New Roman"/>
          <w:color w:val="000000" w:themeColor="text1"/>
        </w:rPr>
      </w:pPr>
    </w:p>
    <w:p w14:paraId="042EACA5" w14:textId="5FF997C2" w:rsidR="00D71672" w:rsidRDefault="00D71672" w:rsidP="00D71672">
      <w:pPr>
        <w:autoSpaceDE w:val="0"/>
        <w:autoSpaceDN w:val="0"/>
        <w:adjustRightInd w:val="0"/>
        <w:jc w:val="both"/>
        <w:rPr>
          <w:rFonts w:eastAsia="Calibri" w:cs="Times New Roman"/>
          <w:color w:val="000000" w:themeColor="text1"/>
        </w:rPr>
      </w:pPr>
      <w:r w:rsidRPr="002B69EA">
        <w:rPr>
          <w:rFonts w:eastAsia="Calibri" w:cs="Times New Roman"/>
          <w:color w:val="000000" w:themeColor="text1"/>
        </w:rPr>
        <w:t>Collagen</w:t>
      </w:r>
      <w:r>
        <w:rPr>
          <w:rFonts w:eastAsia="Calibri" w:cs="Times New Roman"/>
          <w:color w:val="000000" w:themeColor="text1"/>
        </w:rPr>
        <w:t xml:space="preserve"> from both bone and dentinal</w:t>
      </w:r>
      <w:r w:rsidRPr="002B69EA">
        <w:rPr>
          <w:rFonts w:eastAsia="Calibri" w:cs="Times New Roman"/>
          <w:color w:val="000000" w:themeColor="text1"/>
        </w:rPr>
        <w:t xml:space="preserve"> </w:t>
      </w:r>
      <w:r>
        <w:rPr>
          <w:rFonts w:eastAsia="Calibri" w:cs="Times New Roman"/>
          <w:color w:val="000000" w:themeColor="text1"/>
        </w:rPr>
        <w:t>increments was</w:t>
      </w:r>
      <w:r w:rsidRPr="002B69EA">
        <w:rPr>
          <w:rFonts w:eastAsia="Calibri" w:cs="Times New Roman"/>
          <w:color w:val="000000" w:themeColor="text1"/>
        </w:rPr>
        <w:t xml:space="preserve"> prepared using a modified </w:t>
      </w:r>
      <w:proofErr w:type="spellStart"/>
      <w:r w:rsidRPr="002B69EA">
        <w:rPr>
          <w:rFonts w:eastAsia="Calibri" w:cs="Times New Roman"/>
          <w:color w:val="000000" w:themeColor="text1"/>
        </w:rPr>
        <w:t>Longin</w:t>
      </w:r>
      <w:proofErr w:type="spellEnd"/>
      <w:r w:rsidRPr="002B69EA">
        <w:rPr>
          <w:rFonts w:eastAsia="Calibri" w:cs="Times New Roman"/>
          <w:color w:val="000000" w:themeColor="text1"/>
        </w:rPr>
        <w:t xml:space="preserve"> method detailed in King et al. (2020). </w:t>
      </w:r>
      <w:r>
        <w:rPr>
          <w:rFonts w:eastAsia="Calibri" w:cs="Times New Roman"/>
          <w:color w:val="000000" w:themeColor="text1"/>
        </w:rPr>
        <w:t xml:space="preserve">Samples were initially demineralised in 0.5M HCl at low temperature, prior to being </w:t>
      </w:r>
      <w:r w:rsidRPr="00E16EC9">
        <w:rPr>
          <w:rFonts w:eastAsia="Calibri" w:cs="Times New Roman"/>
          <w:color w:val="000000" w:themeColor="text1"/>
        </w:rPr>
        <w:t>gelatinized by heating in a pH 3 HCl</w:t>
      </w:r>
      <w:r>
        <w:rPr>
          <w:rFonts w:eastAsia="Calibri" w:cs="Times New Roman"/>
          <w:color w:val="000000" w:themeColor="text1"/>
        </w:rPr>
        <w:t xml:space="preserve"> </w:t>
      </w:r>
      <w:r w:rsidRPr="00E16EC9">
        <w:rPr>
          <w:rFonts w:eastAsia="Calibri" w:cs="Times New Roman"/>
          <w:color w:val="000000" w:themeColor="text1"/>
        </w:rPr>
        <w:t>solution at 70</w:t>
      </w:r>
      <w:r w:rsidRPr="00E16EC9">
        <w:rPr>
          <w:rFonts w:eastAsia="Calibri" w:cs="Times New Roman"/>
          <w:color w:val="000000" w:themeColor="text1"/>
          <w:vertAlign w:val="superscript"/>
        </w:rPr>
        <w:t>o</w:t>
      </w:r>
      <w:r w:rsidRPr="00E16EC9">
        <w:rPr>
          <w:rFonts w:eastAsia="Calibri" w:cs="Times New Roman"/>
          <w:color w:val="000000" w:themeColor="text1"/>
        </w:rPr>
        <w:t>C for 24–48 hr. Gelatinized collagen from bone samples</w:t>
      </w:r>
      <w:r>
        <w:rPr>
          <w:rFonts w:eastAsia="Calibri" w:cs="Times New Roman"/>
          <w:color w:val="000000" w:themeColor="text1"/>
        </w:rPr>
        <w:t xml:space="preserve"> </w:t>
      </w:r>
      <w:r w:rsidRPr="00E16EC9">
        <w:rPr>
          <w:rFonts w:eastAsia="Calibri" w:cs="Times New Roman"/>
          <w:color w:val="000000" w:themeColor="text1"/>
        </w:rPr>
        <w:t xml:space="preserve">was filtered using </w:t>
      </w:r>
      <w:proofErr w:type="spellStart"/>
      <w:r w:rsidRPr="00E16EC9">
        <w:rPr>
          <w:rFonts w:eastAsia="Calibri" w:cs="Times New Roman"/>
          <w:color w:val="000000" w:themeColor="text1"/>
        </w:rPr>
        <w:t>Ezee</w:t>
      </w:r>
      <w:proofErr w:type="spellEnd"/>
      <w:r w:rsidRPr="00E16EC9">
        <w:rPr>
          <w:rFonts w:eastAsia="Calibri" w:cs="Times New Roman"/>
          <w:color w:val="000000" w:themeColor="text1"/>
        </w:rPr>
        <w:t xml:space="preserve"> filters (Elkay, United Kingdom) and then</w:t>
      </w:r>
      <w:r>
        <w:rPr>
          <w:rFonts w:eastAsia="Calibri" w:cs="Times New Roman"/>
          <w:color w:val="000000" w:themeColor="text1"/>
        </w:rPr>
        <w:t xml:space="preserve"> </w:t>
      </w:r>
      <w:r w:rsidRPr="00E16EC9">
        <w:rPr>
          <w:rFonts w:eastAsia="Calibri" w:cs="Times New Roman"/>
          <w:color w:val="000000" w:themeColor="text1"/>
        </w:rPr>
        <w:t xml:space="preserve">lyophilized. Gelatinized increments were centrifuged </w:t>
      </w:r>
      <w:r>
        <w:rPr>
          <w:rFonts w:eastAsia="Calibri" w:cs="Times New Roman"/>
          <w:color w:val="000000" w:themeColor="text1"/>
        </w:rPr>
        <w:t xml:space="preserve">rather than filtered prior to </w:t>
      </w:r>
      <w:proofErr w:type="spellStart"/>
      <w:r>
        <w:rPr>
          <w:rFonts w:eastAsia="Calibri" w:cs="Times New Roman"/>
          <w:color w:val="000000" w:themeColor="text1"/>
        </w:rPr>
        <w:t>lyophilzation</w:t>
      </w:r>
      <w:proofErr w:type="spellEnd"/>
      <w:r w:rsidR="00BB1061">
        <w:rPr>
          <w:rFonts w:eastAsia="Calibri" w:cs="Times New Roman"/>
          <w:color w:val="000000" w:themeColor="text1"/>
        </w:rPr>
        <w:t xml:space="preserve"> due to their small sample size</w:t>
      </w:r>
      <w:r>
        <w:rPr>
          <w:rFonts w:eastAsia="Calibri" w:cs="Times New Roman"/>
          <w:color w:val="000000" w:themeColor="text1"/>
        </w:rPr>
        <w:t xml:space="preserve">. </w:t>
      </w:r>
    </w:p>
    <w:p w14:paraId="0DA1F1E3" w14:textId="77777777" w:rsidR="00D71672" w:rsidRDefault="00D71672" w:rsidP="00D71672">
      <w:pPr>
        <w:autoSpaceDE w:val="0"/>
        <w:autoSpaceDN w:val="0"/>
        <w:adjustRightInd w:val="0"/>
        <w:jc w:val="both"/>
        <w:rPr>
          <w:rFonts w:eastAsia="Calibri" w:cs="Times New Roman"/>
          <w:color w:val="000000" w:themeColor="text1"/>
        </w:rPr>
      </w:pPr>
    </w:p>
    <w:p w14:paraId="18C950EF" w14:textId="77777777" w:rsidR="00D71672" w:rsidRPr="00C271B2" w:rsidRDefault="00D71672" w:rsidP="00D71672">
      <w:pPr>
        <w:widowControl w:val="0"/>
        <w:autoSpaceDE w:val="0"/>
        <w:autoSpaceDN w:val="0"/>
        <w:adjustRightInd w:val="0"/>
        <w:jc w:val="both"/>
        <w:rPr>
          <w:rFonts w:ascii="Calibri" w:eastAsia="Times New Roman" w:hAnsi="Calibri" w:cs="Arial"/>
          <w:color w:val="000000" w:themeColor="text1"/>
          <w:szCs w:val="27"/>
        </w:rPr>
      </w:pPr>
      <w:r>
        <w:rPr>
          <w:rFonts w:eastAsia="Calibri" w:cs="Times New Roman"/>
          <w:color w:val="000000" w:themeColor="text1"/>
        </w:rPr>
        <w:t xml:space="preserve">All collagen samples were </w:t>
      </w:r>
      <w:r w:rsidRPr="002B69EA">
        <w:rPr>
          <w:rFonts w:eastAsia="Calibri" w:cs="Times New Roman"/>
          <w:color w:val="000000" w:themeColor="text1"/>
        </w:rPr>
        <w:t>analysed at the Stable Isotope Biochemistry Laboratory (</w:t>
      </w:r>
      <w:r>
        <w:rPr>
          <w:rFonts w:eastAsia="Calibri" w:cs="Times New Roman"/>
          <w:color w:val="000000" w:themeColor="text1"/>
        </w:rPr>
        <w:t xml:space="preserve">SIBL, </w:t>
      </w:r>
      <w:r w:rsidRPr="002B69EA">
        <w:rPr>
          <w:rFonts w:eastAsia="Calibri" w:cs="Times New Roman"/>
          <w:color w:val="000000" w:themeColor="text1"/>
        </w:rPr>
        <w:t>Durham University)</w:t>
      </w:r>
      <w:r>
        <w:rPr>
          <w:rFonts w:eastAsia="Calibri" w:cs="Times New Roman"/>
          <w:color w:val="000000" w:themeColor="text1"/>
        </w:rPr>
        <w:t xml:space="preserve"> using a </w:t>
      </w:r>
      <w:proofErr w:type="spellStart"/>
      <w:r w:rsidRPr="00C271B2">
        <w:rPr>
          <w:rFonts w:ascii="Calibri" w:hAnsi="Calibri" w:cs="Times New Roman"/>
          <w:sz w:val="23"/>
          <w:szCs w:val="23"/>
        </w:rPr>
        <w:t>Costech</w:t>
      </w:r>
      <w:proofErr w:type="spellEnd"/>
      <w:r w:rsidRPr="00C271B2">
        <w:rPr>
          <w:rFonts w:ascii="Calibri" w:hAnsi="Calibri" w:cs="Times New Roman"/>
          <w:sz w:val="23"/>
          <w:szCs w:val="23"/>
        </w:rPr>
        <w:t xml:space="preserve"> Elemental Analyser (ECS 4010) connected to a Thermo</w:t>
      </w:r>
      <w:r>
        <w:rPr>
          <w:rFonts w:ascii="Calibri" w:hAnsi="Calibri" w:cs="Times New Roman"/>
          <w:sz w:val="23"/>
          <w:szCs w:val="23"/>
        </w:rPr>
        <w:t xml:space="preserve"> Scientific</w:t>
      </w:r>
      <w:r w:rsidRPr="00C271B2">
        <w:rPr>
          <w:rFonts w:ascii="Calibri" w:hAnsi="Calibri" w:cs="Times New Roman"/>
          <w:sz w:val="23"/>
          <w:szCs w:val="23"/>
        </w:rPr>
        <w:t xml:space="preserve"> Delta V Advantage isotope ratio mass spectrometer. Carbon isotope ratios were corrected for </w:t>
      </w:r>
      <w:r w:rsidRPr="00FD00BF">
        <w:rPr>
          <w:rFonts w:ascii="Calibri" w:hAnsi="Calibri" w:cs="Times New Roman"/>
          <w:sz w:val="23"/>
          <w:szCs w:val="23"/>
          <w:vertAlign w:val="superscript"/>
        </w:rPr>
        <w:t>17</w:t>
      </w:r>
      <w:r w:rsidRPr="00C271B2">
        <w:rPr>
          <w:rFonts w:ascii="Calibri" w:hAnsi="Calibri" w:cs="Times New Roman"/>
          <w:sz w:val="23"/>
          <w:szCs w:val="23"/>
        </w:rPr>
        <w:t xml:space="preserve">O contribution and reported in standard delta (δ) notation in per mil (‰) relative to Vienna Pee Dee Belemnite (VPDB). Isotopic accuracy was monitored through </w:t>
      </w:r>
      <w:r>
        <w:rPr>
          <w:rFonts w:ascii="Calibri" w:hAnsi="Calibri" w:cs="Times New Roman"/>
          <w:sz w:val="23"/>
          <w:szCs w:val="23"/>
        </w:rPr>
        <w:t>the daily</w:t>
      </w:r>
      <w:r w:rsidRPr="00C271B2">
        <w:rPr>
          <w:rFonts w:ascii="Calibri" w:hAnsi="Calibri" w:cs="Times New Roman"/>
          <w:sz w:val="23"/>
          <w:szCs w:val="23"/>
        </w:rPr>
        <w:t xml:space="preserve"> analys</w:t>
      </w:r>
      <w:r>
        <w:rPr>
          <w:rFonts w:ascii="Calibri" w:hAnsi="Calibri" w:cs="Times New Roman"/>
          <w:sz w:val="23"/>
          <w:szCs w:val="23"/>
        </w:rPr>
        <w:t>i</w:t>
      </w:r>
      <w:r w:rsidRPr="00C271B2">
        <w:rPr>
          <w:rFonts w:ascii="Calibri" w:hAnsi="Calibri" w:cs="Times New Roman"/>
          <w:sz w:val="23"/>
          <w:szCs w:val="23"/>
        </w:rPr>
        <w:t>s of in-house standards</w:t>
      </w:r>
      <w:r>
        <w:rPr>
          <w:rFonts w:ascii="Calibri" w:hAnsi="Calibri" w:cs="Times New Roman"/>
          <w:sz w:val="23"/>
          <w:szCs w:val="23"/>
        </w:rPr>
        <w:t xml:space="preserve"> and </w:t>
      </w:r>
      <w:r w:rsidRPr="00C271B2">
        <w:rPr>
          <w:rFonts w:ascii="Calibri" w:hAnsi="Calibri" w:cs="Times New Roman"/>
          <w:sz w:val="23"/>
          <w:szCs w:val="23"/>
        </w:rPr>
        <w:t xml:space="preserve">international standards (e.g., </w:t>
      </w:r>
      <w:r w:rsidRPr="00142C15">
        <w:rPr>
          <w:rFonts w:ascii="Calibri" w:hAnsi="Calibri" w:cs="Times New Roman"/>
          <w:sz w:val="23"/>
          <w:szCs w:val="23"/>
        </w:rPr>
        <w:t>IAEA-CH-3, IAEA-CH-6, IAEA-CH-7, IAEA-N-1, IAEA-N-2, NBS 24, USGS40</w:t>
      </w:r>
      <w:r w:rsidRPr="00C271B2">
        <w:rPr>
          <w:rFonts w:ascii="Calibri" w:hAnsi="Calibri" w:cs="Times New Roman"/>
          <w:sz w:val="23"/>
          <w:szCs w:val="23"/>
        </w:rPr>
        <w:t>).</w:t>
      </w:r>
      <w:r>
        <w:rPr>
          <w:rFonts w:ascii="Calibri" w:hAnsi="Calibri" w:cs="Times New Roman"/>
          <w:sz w:val="23"/>
          <w:szCs w:val="23"/>
        </w:rPr>
        <w:t xml:space="preserve"> </w:t>
      </w:r>
      <w:r w:rsidRPr="00142C15">
        <w:rPr>
          <w:rFonts w:ascii="Calibri" w:hAnsi="Calibri" w:cs="Times New Roman"/>
          <w:sz w:val="23"/>
          <w:szCs w:val="23"/>
        </w:rPr>
        <w:t xml:space="preserve">Analytical uncertainty for isotope measurements was </w:t>
      </w:r>
      <w:r>
        <w:rPr>
          <w:rFonts w:ascii="Calibri" w:hAnsi="Calibri" w:cs="Times New Roman"/>
          <w:sz w:val="23"/>
          <w:szCs w:val="23"/>
        </w:rPr>
        <w:t>&lt;</w:t>
      </w:r>
      <w:r w:rsidRPr="00142C15">
        <w:rPr>
          <w:rFonts w:ascii="Calibri" w:hAnsi="Calibri" w:cs="Times New Roman"/>
          <w:sz w:val="23"/>
          <w:szCs w:val="23"/>
        </w:rPr>
        <w:t>±0.1‰</w:t>
      </w:r>
      <w:r>
        <w:rPr>
          <w:rFonts w:ascii="Calibri" w:hAnsi="Calibri" w:cs="Times New Roman"/>
          <w:sz w:val="23"/>
          <w:szCs w:val="23"/>
        </w:rPr>
        <w:t xml:space="preserve"> (1 SD)</w:t>
      </w:r>
      <w:r w:rsidRPr="00142C15">
        <w:rPr>
          <w:rFonts w:ascii="Calibri" w:hAnsi="Calibri" w:cs="Times New Roman"/>
          <w:sz w:val="23"/>
          <w:szCs w:val="23"/>
        </w:rPr>
        <w:t xml:space="preserve"> for replicate analyses of standards and &lt;0.2‰ </w:t>
      </w:r>
      <w:r>
        <w:rPr>
          <w:rFonts w:ascii="Calibri" w:hAnsi="Calibri" w:cs="Times New Roman"/>
          <w:sz w:val="23"/>
          <w:szCs w:val="23"/>
        </w:rPr>
        <w:t xml:space="preserve">(2 SD) </w:t>
      </w:r>
      <w:r w:rsidRPr="00142C15">
        <w:rPr>
          <w:rFonts w:ascii="Calibri" w:hAnsi="Calibri" w:cs="Times New Roman"/>
          <w:sz w:val="23"/>
          <w:szCs w:val="23"/>
        </w:rPr>
        <w:t>on replicate sample analyses.</w:t>
      </w:r>
    </w:p>
    <w:p w14:paraId="7E328E87" w14:textId="77777777" w:rsidR="00D71672" w:rsidRDefault="00D71672" w:rsidP="00D71672">
      <w:pPr>
        <w:autoSpaceDE w:val="0"/>
        <w:autoSpaceDN w:val="0"/>
        <w:adjustRightInd w:val="0"/>
        <w:jc w:val="both"/>
        <w:rPr>
          <w:rFonts w:eastAsia="Calibri" w:cs="Times New Roman"/>
          <w:color w:val="000000" w:themeColor="text1"/>
        </w:rPr>
      </w:pPr>
      <w:r>
        <w:rPr>
          <w:rFonts w:eastAsia="Calibri" w:cs="Times New Roman"/>
          <w:color w:val="000000" w:themeColor="text1"/>
        </w:rPr>
        <w:t xml:space="preserve"> </w:t>
      </w:r>
    </w:p>
    <w:p w14:paraId="06AA31EC" w14:textId="77777777" w:rsidR="00D71672" w:rsidRDefault="00D71672" w:rsidP="00D71672">
      <w:pPr>
        <w:rPr>
          <w:b/>
          <w:lang w:val="en-AU"/>
        </w:rPr>
      </w:pPr>
    </w:p>
    <w:p w14:paraId="4A49E57A" w14:textId="77777777" w:rsidR="00D71672" w:rsidRDefault="00D71672" w:rsidP="00D71672">
      <w:pPr>
        <w:rPr>
          <w:i/>
          <w:lang w:val="en-AU"/>
        </w:rPr>
      </w:pPr>
      <w:r>
        <w:rPr>
          <w:i/>
          <w:lang w:val="en-AU"/>
        </w:rPr>
        <w:t xml:space="preserve">Analytical procedure for </w:t>
      </w:r>
      <w:r>
        <w:rPr>
          <w:i/>
          <w:vertAlign w:val="superscript"/>
          <w:lang w:val="en-AU"/>
        </w:rPr>
        <w:t>87</w:t>
      </w:r>
      <w:r>
        <w:rPr>
          <w:i/>
          <w:lang w:val="en-AU"/>
        </w:rPr>
        <w:t>Sr/</w:t>
      </w:r>
      <w:r>
        <w:rPr>
          <w:i/>
          <w:vertAlign w:val="superscript"/>
          <w:lang w:val="en-AU"/>
        </w:rPr>
        <w:t>86</w:t>
      </w:r>
      <w:r>
        <w:rPr>
          <w:i/>
          <w:lang w:val="en-AU"/>
        </w:rPr>
        <w:t>Sr analysis</w:t>
      </w:r>
    </w:p>
    <w:p w14:paraId="112FAAB2" w14:textId="77777777" w:rsidR="00D71672" w:rsidRDefault="00D71672" w:rsidP="00CC7626">
      <w:pPr>
        <w:autoSpaceDE w:val="0"/>
        <w:autoSpaceDN w:val="0"/>
        <w:adjustRightInd w:val="0"/>
        <w:jc w:val="both"/>
        <w:rPr>
          <w:rFonts w:cstheme="minorHAnsi"/>
          <w:color w:val="231F20"/>
          <w:lang w:val="en-US"/>
        </w:rPr>
      </w:pPr>
    </w:p>
    <w:p w14:paraId="6B516EC0" w14:textId="0CFEC4BF" w:rsidR="00C14CB9" w:rsidRDefault="0036648F" w:rsidP="00CC7626">
      <w:pPr>
        <w:autoSpaceDE w:val="0"/>
        <w:autoSpaceDN w:val="0"/>
        <w:adjustRightInd w:val="0"/>
        <w:jc w:val="both"/>
        <w:rPr>
          <w:rFonts w:cstheme="minorHAnsi"/>
          <w:color w:val="231F20"/>
          <w:lang w:val="en-US"/>
        </w:rPr>
      </w:pPr>
      <w:r>
        <w:rPr>
          <w:rFonts w:cstheme="minorHAnsi"/>
          <w:color w:val="231F20"/>
          <w:lang w:val="en-US"/>
        </w:rPr>
        <w:t xml:space="preserve">The sample was processed and </w:t>
      </w:r>
      <w:proofErr w:type="spellStart"/>
      <w:r>
        <w:rPr>
          <w:rFonts w:cstheme="minorHAnsi"/>
          <w:color w:val="231F20"/>
          <w:lang w:val="en-US"/>
        </w:rPr>
        <w:t>analysed</w:t>
      </w:r>
      <w:proofErr w:type="spellEnd"/>
      <w:r>
        <w:rPr>
          <w:rFonts w:cstheme="minorHAnsi"/>
          <w:color w:val="231F20"/>
          <w:lang w:val="en-US"/>
        </w:rPr>
        <w:t xml:space="preserve"> at the </w:t>
      </w:r>
      <w:r>
        <w:rPr>
          <w:rFonts w:ascii="Calibri" w:hAnsi="Calibri" w:cs="Calibri"/>
          <w:color w:val="231F20"/>
          <w:lang w:val="en-US"/>
        </w:rPr>
        <w:t>Arthur Holmes Isotope Geology Laboratory</w:t>
      </w:r>
      <w:r w:rsidRPr="00C14CB9">
        <w:rPr>
          <w:rFonts w:ascii="Calibri" w:hAnsi="Calibri" w:cs="Calibri"/>
          <w:color w:val="231F20"/>
          <w:lang w:val="en-US"/>
        </w:rPr>
        <w:t>,</w:t>
      </w:r>
      <w:r>
        <w:rPr>
          <w:rFonts w:ascii="Calibri" w:hAnsi="Calibri" w:cs="Calibri"/>
          <w:color w:val="231F20"/>
          <w:lang w:val="en-US"/>
        </w:rPr>
        <w:t xml:space="preserve"> </w:t>
      </w:r>
      <w:r w:rsidRPr="00C14CB9">
        <w:rPr>
          <w:rFonts w:ascii="Calibri" w:hAnsi="Calibri" w:cs="Calibri"/>
          <w:color w:val="231F20"/>
          <w:lang w:val="en-US"/>
        </w:rPr>
        <w:t>University of Durham</w:t>
      </w:r>
      <w:r>
        <w:rPr>
          <w:rFonts w:ascii="Calibri" w:hAnsi="Calibri" w:cs="Calibri"/>
          <w:color w:val="231F20"/>
          <w:lang w:val="en-US"/>
        </w:rPr>
        <w:t xml:space="preserve">. </w:t>
      </w:r>
      <w:r w:rsidR="00C14CB9">
        <w:rPr>
          <w:lang w:val="en-AU"/>
        </w:rPr>
        <w:t xml:space="preserve">Prior to mass spectrometry, strontium was purified from the enamel </w:t>
      </w:r>
      <w:r w:rsidR="00C14CB9">
        <w:rPr>
          <w:lang w:val="en-AU"/>
        </w:rPr>
        <w:lastRenderedPageBreak/>
        <w:t xml:space="preserve">sample using established column chemistry methods </w:t>
      </w:r>
      <w:r w:rsidR="008E551B">
        <w:rPr>
          <w:lang w:val="en-AU"/>
        </w:rPr>
        <w:fldChar w:fldCharType="begin"/>
      </w:r>
      <w:r w:rsidR="008E551B">
        <w:rPr>
          <w:lang w:val="en-AU"/>
        </w:rPr>
        <w:instrText xml:space="preserve"> ADDIN EN.CITE &lt;EndNote&gt;&lt;Cite&gt;&lt;Author&gt;Font&lt;/Author&gt;&lt;Year&gt;2008&lt;/Year&gt;&lt;RecNum&gt;4339&lt;/RecNum&gt;&lt;DisplayText&gt;(Font&lt;style face="italic"&gt; et al.&lt;/style&gt; 2008)&lt;/DisplayText&gt;&lt;record&gt;&lt;rec-number&gt;4339&lt;/rec-number&gt;&lt;foreign-keys&gt;&lt;key app="EN" db-id="wwv02z0t0tsez4espzc5d5rzw0p05vwftxzp" timestamp="1622675886"&gt;4339&lt;/key&gt;&lt;/foreign-keys&gt;&lt;ref-type name="Journal Article"&gt;17&lt;/ref-type&gt;&lt;contributors&gt;&lt;authors&gt;&lt;author&gt;Font, L.&lt;/author&gt;&lt;author&gt;Davidson, J.&lt;/author&gt;&lt;author&gt;Pearson, D.&lt;/author&gt;&lt;author&gt;Nowell, G.&lt;/author&gt;&lt;author&gt;Jerram, D.&lt;/author&gt;&lt;author&gt;Ottley, C.&lt;/author&gt;&lt;/authors&gt;&lt;/contributors&gt;&lt;titles&gt;&lt;title&gt;Sr and Pb isotope micro-analysis of plagioclase crystals from Skye Lavas: an insight into open-system processes in a flood basalt Province&lt;/title&gt;&lt;secondary-title&gt;Journal of Petrology &lt;/secondary-title&gt;&lt;/titles&gt;&lt;periodical&gt;&lt;full-title&gt;Journal of Petrology&lt;/full-title&gt;&lt;/periodical&gt;&lt;pages&gt;1449-1471&lt;/pages&gt;&lt;volume&gt;49&lt;/volume&gt;&lt;number&gt;8&lt;/number&gt;&lt;dates&gt;&lt;year&gt;2008&lt;/year&gt;&lt;/dates&gt;&lt;urls&gt;&lt;/urls&gt;&lt;/record&gt;&lt;/Cite&gt;&lt;/EndNote&gt;</w:instrText>
      </w:r>
      <w:r w:rsidR="008E551B">
        <w:rPr>
          <w:lang w:val="en-AU"/>
        </w:rPr>
        <w:fldChar w:fldCharType="separate"/>
      </w:r>
      <w:r w:rsidR="008E551B">
        <w:rPr>
          <w:noProof/>
          <w:lang w:val="en-AU"/>
        </w:rPr>
        <w:t>(Font</w:t>
      </w:r>
      <w:r w:rsidR="008E551B" w:rsidRPr="008E551B">
        <w:rPr>
          <w:i/>
          <w:noProof/>
          <w:lang w:val="en-AU"/>
        </w:rPr>
        <w:t xml:space="preserve"> et al.</w:t>
      </w:r>
      <w:r w:rsidR="008E551B">
        <w:rPr>
          <w:noProof/>
          <w:lang w:val="en-AU"/>
        </w:rPr>
        <w:t xml:space="preserve"> 2008)</w:t>
      </w:r>
      <w:r w:rsidR="008E551B">
        <w:rPr>
          <w:lang w:val="en-AU"/>
        </w:rPr>
        <w:fldChar w:fldCharType="end"/>
      </w:r>
      <w:r w:rsidR="008E551B">
        <w:rPr>
          <w:lang w:val="en-AU"/>
        </w:rPr>
        <w:t xml:space="preserve">. </w:t>
      </w:r>
      <w:r w:rsidR="00037E4F">
        <w:rPr>
          <w:lang w:val="en-AU"/>
        </w:rPr>
        <w:t>I</w:t>
      </w:r>
      <w:r w:rsidR="00790415">
        <w:rPr>
          <w:lang w:val="en-AU"/>
        </w:rPr>
        <w:t>n</w:t>
      </w:r>
      <w:r w:rsidR="00037E4F">
        <w:rPr>
          <w:lang w:val="en-AU"/>
        </w:rPr>
        <w:t xml:space="preserve"> brief, the </w:t>
      </w:r>
      <w:r w:rsidR="00C14CB9" w:rsidRPr="00C14CB9">
        <w:rPr>
          <w:rFonts w:cstheme="minorHAnsi"/>
          <w:lang w:val="en-AU"/>
        </w:rPr>
        <w:t>s</w:t>
      </w:r>
      <w:r w:rsidR="00C14CB9" w:rsidRPr="00C14CB9">
        <w:rPr>
          <w:rFonts w:cstheme="minorHAnsi"/>
          <w:color w:val="231F20"/>
          <w:lang w:val="en-US"/>
        </w:rPr>
        <w:t xml:space="preserve">ample </w:t>
      </w:r>
      <w:r w:rsidR="00037E4F">
        <w:rPr>
          <w:rFonts w:cstheme="minorHAnsi"/>
          <w:color w:val="231F20"/>
          <w:lang w:val="en-US"/>
        </w:rPr>
        <w:t xml:space="preserve">was dissolved overnight </w:t>
      </w:r>
      <w:r w:rsidR="00037E4F" w:rsidRPr="00C14CB9">
        <w:rPr>
          <w:rFonts w:cstheme="minorHAnsi"/>
          <w:color w:val="231F20"/>
          <w:lang w:val="en-US"/>
        </w:rPr>
        <w:t>in</w:t>
      </w:r>
      <w:r w:rsidR="00C14CB9" w:rsidRPr="00C14CB9">
        <w:rPr>
          <w:rFonts w:cstheme="minorHAnsi"/>
          <w:color w:val="231F20"/>
          <w:lang w:val="en-US"/>
        </w:rPr>
        <w:t xml:space="preserve"> </w:t>
      </w:r>
      <w:r w:rsidR="00037E4F">
        <w:rPr>
          <w:rFonts w:cstheme="minorHAnsi"/>
          <w:color w:val="231F20"/>
          <w:lang w:val="en-US"/>
        </w:rPr>
        <w:t xml:space="preserve">Teflon Distilled (TD) </w:t>
      </w:r>
      <w:r w:rsidR="00C14CB9" w:rsidRPr="00C14CB9">
        <w:rPr>
          <w:rFonts w:cstheme="minorHAnsi"/>
          <w:color w:val="231F20"/>
          <w:lang w:val="en-US"/>
        </w:rPr>
        <w:t>3</w:t>
      </w:r>
      <w:r w:rsidR="00790415">
        <w:rPr>
          <w:rFonts w:cstheme="minorHAnsi"/>
          <w:color w:val="231F20"/>
          <w:lang w:val="en-US"/>
        </w:rPr>
        <w:t>M</w:t>
      </w:r>
      <w:r w:rsidR="00C14CB9" w:rsidRPr="00C14CB9">
        <w:rPr>
          <w:rFonts w:cstheme="minorHAnsi"/>
          <w:color w:val="231F20"/>
          <w:lang w:val="en-US"/>
        </w:rPr>
        <w:t xml:space="preserve"> HNO</w:t>
      </w:r>
      <w:r w:rsidR="00C14CB9" w:rsidRPr="00C14CB9">
        <w:rPr>
          <w:rFonts w:cstheme="minorHAnsi"/>
          <w:color w:val="231F20"/>
          <w:vertAlign w:val="subscript"/>
          <w:lang w:val="en-US"/>
        </w:rPr>
        <w:t>3</w:t>
      </w:r>
      <w:r w:rsidR="00037E4F">
        <w:rPr>
          <w:rFonts w:cstheme="minorHAnsi"/>
          <w:color w:val="231F20"/>
          <w:lang w:val="en-US"/>
        </w:rPr>
        <w:t xml:space="preserve">. The sample was then loaded onto </w:t>
      </w:r>
      <w:r>
        <w:rPr>
          <w:rFonts w:cstheme="minorHAnsi"/>
          <w:color w:val="231F20"/>
          <w:lang w:val="en-US"/>
        </w:rPr>
        <w:t>a cleaned and preconditioned</w:t>
      </w:r>
      <w:r w:rsidR="00037E4F">
        <w:rPr>
          <w:rFonts w:cstheme="minorHAnsi"/>
          <w:color w:val="231F20"/>
          <w:lang w:val="en-US"/>
        </w:rPr>
        <w:t xml:space="preserve"> column </w:t>
      </w:r>
      <w:r>
        <w:rPr>
          <w:rFonts w:cstheme="minorHAnsi"/>
          <w:color w:val="231F20"/>
          <w:lang w:val="en-US"/>
        </w:rPr>
        <w:t>containing</w:t>
      </w:r>
      <w:r w:rsidR="00037E4F">
        <w:rPr>
          <w:rFonts w:cstheme="minorHAnsi"/>
          <w:color w:val="231F20"/>
          <w:lang w:val="en-US"/>
        </w:rPr>
        <w:t xml:space="preserve"> ~60</w:t>
      </w:r>
      <w:r w:rsidR="00037E4F" w:rsidRPr="0036648F">
        <w:rPr>
          <w:rFonts w:ascii="Symbol" w:hAnsi="Symbol" w:cstheme="minorHAnsi"/>
          <w:color w:val="231F20"/>
          <w:lang w:val="en-US"/>
        </w:rPr>
        <w:t></w:t>
      </w:r>
      <w:r w:rsidR="00037E4F">
        <w:rPr>
          <w:rFonts w:cstheme="minorHAnsi"/>
          <w:color w:val="231F20"/>
          <w:lang w:val="en-US"/>
        </w:rPr>
        <w:t xml:space="preserve">l of </w:t>
      </w:r>
      <w:proofErr w:type="spellStart"/>
      <w:r w:rsidR="00037E4F">
        <w:rPr>
          <w:rFonts w:cstheme="minorHAnsi"/>
          <w:color w:val="231F20"/>
          <w:lang w:val="en-US"/>
        </w:rPr>
        <w:t>Eichrom</w:t>
      </w:r>
      <w:proofErr w:type="spellEnd"/>
      <w:r w:rsidR="00037E4F">
        <w:rPr>
          <w:rFonts w:cstheme="minorHAnsi"/>
          <w:color w:val="231F20"/>
          <w:lang w:val="en-US"/>
        </w:rPr>
        <w:t xml:space="preserve"> Sr resin</w:t>
      </w:r>
      <w:r>
        <w:rPr>
          <w:rFonts w:cstheme="minorHAnsi"/>
          <w:color w:val="231F20"/>
          <w:lang w:val="en-US"/>
        </w:rPr>
        <w:t>. The matrix was eluted to waste with TD 3</w:t>
      </w:r>
      <w:r w:rsidR="00790415">
        <w:rPr>
          <w:rFonts w:cstheme="minorHAnsi"/>
          <w:color w:val="231F20"/>
          <w:lang w:val="en-US"/>
        </w:rPr>
        <w:t>M</w:t>
      </w:r>
      <w:r>
        <w:rPr>
          <w:rFonts w:cstheme="minorHAnsi"/>
          <w:color w:val="231F20"/>
          <w:lang w:val="en-US"/>
        </w:rPr>
        <w:t xml:space="preserve"> HNO</w:t>
      </w:r>
      <w:r w:rsidRPr="0036648F">
        <w:rPr>
          <w:rFonts w:cstheme="minorHAnsi"/>
          <w:color w:val="231F20"/>
          <w:vertAlign w:val="subscript"/>
          <w:lang w:val="en-US"/>
        </w:rPr>
        <w:t>3</w:t>
      </w:r>
      <w:r w:rsidR="00037E4F">
        <w:rPr>
          <w:rFonts w:cstheme="minorHAnsi"/>
          <w:color w:val="231F20"/>
          <w:lang w:val="en-US"/>
        </w:rPr>
        <w:t xml:space="preserve"> </w:t>
      </w:r>
      <w:r w:rsidR="00C14CB9">
        <w:rPr>
          <w:rFonts w:cstheme="minorHAnsi"/>
          <w:color w:val="231F20"/>
          <w:lang w:val="en-US"/>
        </w:rPr>
        <w:t xml:space="preserve">followed by </w:t>
      </w:r>
      <w:r>
        <w:rPr>
          <w:rFonts w:cstheme="minorHAnsi"/>
          <w:color w:val="231F20"/>
          <w:lang w:val="en-US"/>
        </w:rPr>
        <w:t>elution</w:t>
      </w:r>
      <w:r w:rsidR="00C14CB9">
        <w:rPr>
          <w:rFonts w:cstheme="minorHAnsi"/>
          <w:color w:val="231F20"/>
          <w:lang w:val="en-US"/>
        </w:rPr>
        <w:t xml:space="preserve"> of</w:t>
      </w:r>
      <w:r>
        <w:rPr>
          <w:rFonts w:cstheme="minorHAnsi"/>
          <w:color w:val="231F20"/>
          <w:lang w:val="en-US"/>
        </w:rPr>
        <w:t xml:space="preserve"> the</w:t>
      </w:r>
      <w:r w:rsidR="00C14CB9">
        <w:rPr>
          <w:rFonts w:cstheme="minorHAnsi"/>
          <w:color w:val="231F20"/>
          <w:lang w:val="en-US"/>
        </w:rPr>
        <w:t xml:space="preserve"> Sr </w:t>
      </w:r>
      <w:r>
        <w:rPr>
          <w:rFonts w:cstheme="minorHAnsi"/>
          <w:color w:val="231F20"/>
          <w:lang w:val="en-US"/>
        </w:rPr>
        <w:t>fraction in 400</w:t>
      </w:r>
      <w:r w:rsidRPr="0036648F">
        <w:rPr>
          <w:rFonts w:ascii="Symbol" w:hAnsi="Symbol" w:cstheme="minorHAnsi"/>
          <w:color w:val="231F20"/>
          <w:lang w:val="en-US"/>
        </w:rPr>
        <w:t></w:t>
      </w:r>
      <w:r>
        <w:rPr>
          <w:rFonts w:cstheme="minorHAnsi"/>
          <w:color w:val="231F20"/>
          <w:lang w:val="en-US"/>
        </w:rPr>
        <w:t>l MQ H</w:t>
      </w:r>
      <w:r w:rsidRPr="00790415">
        <w:rPr>
          <w:rFonts w:cstheme="minorHAnsi"/>
          <w:color w:val="231F20"/>
          <w:vertAlign w:val="subscript"/>
          <w:lang w:val="en-US"/>
        </w:rPr>
        <w:t>2</w:t>
      </w:r>
      <w:r>
        <w:rPr>
          <w:rFonts w:cstheme="minorHAnsi"/>
          <w:color w:val="231F20"/>
          <w:lang w:val="en-US"/>
        </w:rPr>
        <w:t xml:space="preserve">O. </w:t>
      </w:r>
      <w:r w:rsidR="00C14CB9">
        <w:rPr>
          <w:rFonts w:cstheme="minorHAnsi"/>
          <w:color w:val="231F20"/>
          <w:lang w:val="en-US"/>
        </w:rPr>
        <w:t xml:space="preserve"> </w:t>
      </w:r>
      <w:r>
        <w:rPr>
          <w:rFonts w:cstheme="minorHAnsi"/>
          <w:color w:val="231F20"/>
          <w:lang w:val="en-US"/>
        </w:rPr>
        <w:t xml:space="preserve">The Sr fraction was acidified with TD </w:t>
      </w:r>
      <w:r w:rsidR="00790415">
        <w:rPr>
          <w:rFonts w:cstheme="minorHAnsi"/>
          <w:color w:val="231F20"/>
          <w:lang w:val="en-US"/>
        </w:rPr>
        <w:t xml:space="preserve">Conc </w:t>
      </w:r>
      <w:r>
        <w:rPr>
          <w:rFonts w:cstheme="minorHAnsi"/>
          <w:color w:val="231F20"/>
          <w:lang w:val="en-US"/>
        </w:rPr>
        <w:t>HNO</w:t>
      </w:r>
      <w:r w:rsidRPr="0036648F">
        <w:rPr>
          <w:rFonts w:cstheme="minorHAnsi"/>
          <w:color w:val="231F20"/>
          <w:vertAlign w:val="subscript"/>
          <w:lang w:val="en-US"/>
        </w:rPr>
        <w:t>3</w:t>
      </w:r>
      <w:r>
        <w:rPr>
          <w:rFonts w:cstheme="minorHAnsi"/>
          <w:color w:val="231F20"/>
          <w:lang w:val="en-US"/>
        </w:rPr>
        <w:t xml:space="preserve"> to yield a 3% HNO3 solution.</w:t>
      </w:r>
    </w:p>
    <w:p w14:paraId="3D98894B" w14:textId="1FD7D81E" w:rsidR="00C14CB9" w:rsidRDefault="00C14CB9" w:rsidP="00CC7626">
      <w:pPr>
        <w:autoSpaceDE w:val="0"/>
        <w:autoSpaceDN w:val="0"/>
        <w:adjustRightInd w:val="0"/>
        <w:jc w:val="both"/>
        <w:rPr>
          <w:rFonts w:cstheme="minorHAnsi"/>
          <w:color w:val="231F20"/>
          <w:lang w:val="en-US"/>
        </w:rPr>
      </w:pPr>
    </w:p>
    <w:p w14:paraId="6ECA6566" w14:textId="6DAD7194" w:rsidR="00CC7626" w:rsidRDefault="0036648F" w:rsidP="00CC7626">
      <w:pPr>
        <w:autoSpaceDE w:val="0"/>
        <w:autoSpaceDN w:val="0"/>
        <w:adjustRightInd w:val="0"/>
        <w:jc w:val="both"/>
        <w:rPr>
          <w:rFonts w:ascii="Calibri" w:hAnsi="Calibri" w:cs="Calibri"/>
          <w:color w:val="231F20"/>
          <w:lang w:val="en-US"/>
        </w:rPr>
      </w:pPr>
      <w:r>
        <w:rPr>
          <w:rFonts w:ascii="Calibri" w:hAnsi="Calibri" w:cs="Calibri"/>
          <w:color w:val="231F20"/>
          <w:lang w:val="en-US"/>
        </w:rPr>
        <w:t>The Sr isotope composition was measured on a</w:t>
      </w:r>
      <w:r w:rsidR="00C14CB9">
        <w:rPr>
          <w:rFonts w:ascii="Calibri" w:hAnsi="Calibri" w:cs="Calibri"/>
          <w:color w:val="231F20"/>
          <w:lang w:val="en-US"/>
        </w:rPr>
        <w:t xml:space="preserve"> </w:t>
      </w:r>
      <w:proofErr w:type="spellStart"/>
      <w:r w:rsidR="00C14CB9" w:rsidRPr="00C14CB9">
        <w:rPr>
          <w:rFonts w:ascii="Calibri" w:hAnsi="Calibri" w:cs="Calibri"/>
          <w:color w:val="231F20"/>
          <w:lang w:val="en-US"/>
        </w:rPr>
        <w:t>ThermoFisher</w:t>
      </w:r>
      <w:proofErr w:type="spellEnd"/>
      <w:r w:rsidR="00C14CB9">
        <w:rPr>
          <w:rFonts w:ascii="Calibri" w:hAnsi="Calibri" w:cs="Calibri"/>
          <w:color w:val="231F20"/>
          <w:lang w:val="en-US"/>
        </w:rPr>
        <w:t xml:space="preserve"> </w:t>
      </w:r>
      <w:r w:rsidR="00C14CB9" w:rsidRPr="00C14CB9">
        <w:rPr>
          <w:rFonts w:ascii="Calibri" w:hAnsi="Calibri" w:cs="Calibri"/>
          <w:color w:val="231F20"/>
          <w:lang w:val="en-US"/>
        </w:rPr>
        <w:t>Neptune Multi Collector Inductively Coupled</w:t>
      </w:r>
      <w:r w:rsidR="0022214F">
        <w:rPr>
          <w:rFonts w:ascii="Calibri" w:hAnsi="Calibri" w:cs="Calibri"/>
          <w:color w:val="231F20"/>
          <w:lang w:val="en-US"/>
        </w:rPr>
        <w:t xml:space="preserve"> </w:t>
      </w:r>
      <w:r w:rsidR="00C14CB9" w:rsidRPr="00C14CB9">
        <w:rPr>
          <w:rFonts w:ascii="Calibri" w:hAnsi="Calibri" w:cs="Calibri"/>
          <w:color w:val="231F20"/>
          <w:lang w:val="en-US"/>
        </w:rPr>
        <w:t>Plasma Mass Spectrometer (MC-ICP-MS)</w:t>
      </w:r>
      <w:r w:rsidR="00C14CB9">
        <w:rPr>
          <w:rFonts w:ascii="Calibri" w:hAnsi="Calibri" w:cs="Calibri"/>
          <w:color w:val="231F20"/>
          <w:lang w:val="en-US"/>
        </w:rPr>
        <w:t xml:space="preserve">. </w:t>
      </w:r>
      <w:r>
        <w:rPr>
          <w:rFonts w:ascii="Calibri" w:hAnsi="Calibri" w:cs="Calibri"/>
          <w:color w:val="231F20"/>
          <w:lang w:val="en-US"/>
        </w:rPr>
        <w:t xml:space="preserve">A Sr isotope </w:t>
      </w:r>
      <w:r w:rsidR="00721BFB">
        <w:rPr>
          <w:rFonts w:ascii="Calibri" w:hAnsi="Calibri" w:cs="Calibri"/>
          <w:color w:val="231F20"/>
          <w:lang w:val="en-US"/>
        </w:rPr>
        <w:t>measurement</w:t>
      </w:r>
      <w:r>
        <w:rPr>
          <w:rFonts w:ascii="Calibri" w:hAnsi="Calibri" w:cs="Calibri"/>
          <w:color w:val="231F20"/>
          <w:lang w:val="en-US"/>
        </w:rPr>
        <w:t xml:space="preserve"> comprised a </w:t>
      </w:r>
      <w:r w:rsidRPr="0036648F">
        <w:rPr>
          <w:rFonts w:ascii="Calibri" w:hAnsi="Calibri" w:cs="Calibri"/>
          <w:color w:val="231F20"/>
          <w:lang w:val="en-US"/>
        </w:rPr>
        <w:t>stati</w:t>
      </w:r>
      <w:r w:rsidR="00721BFB">
        <w:rPr>
          <w:rFonts w:ascii="Calibri" w:hAnsi="Calibri" w:cs="Calibri"/>
          <w:color w:val="231F20"/>
          <w:lang w:val="en-US"/>
        </w:rPr>
        <w:t xml:space="preserve">c multi-collection routine of </w:t>
      </w:r>
      <w:r w:rsidRPr="0036648F">
        <w:rPr>
          <w:rFonts w:ascii="Calibri" w:hAnsi="Calibri" w:cs="Calibri"/>
          <w:color w:val="231F20"/>
          <w:lang w:val="en-US"/>
        </w:rPr>
        <w:t xml:space="preserve">a single block of 50 cycles with </w:t>
      </w:r>
      <w:r w:rsidR="00721BFB">
        <w:rPr>
          <w:rFonts w:ascii="Calibri" w:hAnsi="Calibri" w:cs="Calibri"/>
          <w:color w:val="231F20"/>
          <w:lang w:val="en-US"/>
        </w:rPr>
        <w:t xml:space="preserve">an integration time of 4s per </w:t>
      </w:r>
      <w:r w:rsidRPr="0036648F">
        <w:rPr>
          <w:rFonts w:ascii="Calibri" w:hAnsi="Calibri" w:cs="Calibri"/>
          <w:color w:val="231F20"/>
          <w:lang w:val="en-US"/>
        </w:rPr>
        <w:t xml:space="preserve">cycle (total analysis time ~3.5mins). Instrumental mass bias was corrected for using an </w:t>
      </w:r>
      <w:r w:rsidRPr="00721BFB">
        <w:rPr>
          <w:rFonts w:ascii="Calibri" w:hAnsi="Calibri" w:cs="Calibri"/>
          <w:color w:val="231F20"/>
          <w:vertAlign w:val="superscript"/>
          <w:lang w:val="en-US"/>
        </w:rPr>
        <w:t>88</w:t>
      </w:r>
      <w:r w:rsidRPr="0036648F">
        <w:rPr>
          <w:rFonts w:ascii="Calibri" w:hAnsi="Calibri" w:cs="Calibri"/>
          <w:color w:val="231F20"/>
          <w:lang w:val="en-US"/>
        </w:rPr>
        <w:t>Sr/</w:t>
      </w:r>
      <w:r w:rsidRPr="00721BFB">
        <w:rPr>
          <w:rFonts w:ascii="Calibri" w:hAnsi="Calibri" w:cs="Calibri"/>
          <w:color w:val="231F20"/>
          <w:vertAlign w:val="superscript"/>
          <w:lang w:val="en-US"/>
        </w:rPr>
        <w:t>86</w:t>
      </w:r>
      <w:r w:rsidRPr="0036648F">
        <w:rPr>
          <w:rFonts w:ascii="Calibri" w:hAnsi="Calibri" w:cs="Calibri"/>
          <w:color w:val="231F20"/>
          <w:lang w:val="en-US"/>
        </w:rPr>
        <w:t xml:space="preserve">Sr ratio of 8.375209 (the reciprocal of the more commonly used </w:t>
      </w:r>
      <w:r w:rsidRPr="00721BFB">
        <w:rPr>
          <w:rFonts w:ascii="Calibri" w:hAnsi="Calibri" w:cs="Calibri"/>
          <w:color w:val="231F20"/>
          <w:vertAlign w:val="superscript"/>
          <w:lang w:val="en-US"/>
        </w:rPr>
        <w:t>86</w:t>
      </w:r>
      <w:r w:rsidRPr="0036648F">
        <w:rPr>
          <w:rFonts w:ascii="Calibri" w:hAnsi="Calibri" w:cs="Calibri"/>
          <w:color w:val="231F20"/>
          <w:lang w:val="en-US"/>
        </w:rPr>
        <w:t>Sr/</w:t>
      </w:r>
      <w:r w:rsidRPr="00721BFB">
        <w:rPr>
          <w:rFonts w:ascii="Calibri" w:hAnsi="Calibri" w:cs="Calibri"/>
          <w:color w:val="231F20"/>
          <w:vertAlign w:val="superscript"/>
          <w:lang w:val="en-US"/>
        </w:rPr>
        <w:t>88</w:t>
      </w:r>
      <w:r w:rsidRPr="0036648F">
        <w:rPr>
          <w:rFonts w:ascii="Calibri" w:hAnsi="Calibri" w:cs="Calibri"/>
          <w:color w:val="231F20"/>
          <w:lang w:val="en-US"/>
        </w:rPr>
        <w:t>Sr ratio of 0.1194) and an exponential law.</w:t>
      </w:r>
      <w:r w:rsidR="0066785F">
        <w:rPr>
          <w:rFonts w:ascii="Calibri" w:hAnsi="Calibri" w:cs="Calibri"/>
          <w:color w:val="231F20"/>
          <w:lang w:val="en-US"/>
        </w:rPr>
        <w:t xml:space="preserve"> Correction</w:t>
      </w:r>
      <w:r w:rsidR="0066785F" w:rsidRPr="0066785F">
        <w:rPr>
          <w:rFonts w:ascii="Calibri" w:hAnsi="Calibri" w:cs="Calibri"/>
          <w:color w:val="231F20"/>
          <w:lang w:val="en-US"/>
        </w:rPr>
        <w:t xml:space="preserve"> for isobaric interferences from Rb and Kr on </w:t>
      </w:r>
      <w:r w:rsidR="0066785F" w:rsidRPr="00790415">
        <w:rPr>
          <w:rFonts w:ascii="Calibri" w:hAnsi="Calibri" w:cs="Calibri"/>
          <w:color w:val="231F20"/>
          <w:vertAlign w:val="superscript"/>
          <w:lang w:val="en-US"/>
        </w:rPr>
        <w:t>87</w:t>
      </w:r>
      <w:r w:rsidR="0066785F" w:rsidRPr="0066785F">
        <w:rPr>
          <w:rFonts w:ascii="Calibri" w:hAnsi="Calibri" w:cs="Calibri"/>
          <w:color w:val="231F20"/>
          <w:lang w:val="en-US"/>
        </w:rPr>
        <w:t xml:space="preserve">Sr and </w:t>
      </w:r>
      <w:r w:rsidR="0066785F" w:rsidRPr="00790415">
        <w:rPr>
          <w:rFonts w:ascii="Calibri" w:hAnsi="Calibri" w:cs="Calibri"/>
          <w:color w:val="231F20"/>
          <w:vertAlign w:val="superscript"/>
          <w:lang w:val="en-US"/>
        </w:rPr>
        <w:t>86</w:t>
      </w:r>
      <w:r w:rsidR="0066785F" w:rsidRPr="0066785F">
        <w:rPr>
          <w:rFonts w:ascii="Calibri" w:hAnsi="Calibri" w:cs="Calibri"/>
          <w:color w:val="231F20"/>
          <w:lang w:val="en-US"/>
        </w:rPr>
        <w:t xml:space="preserve">Sr were performed using </w:t>
      </w:r>
      <w:r w:rsidR="0066785F" w:rsidRPr="0066785F">
        <w:rPr>
          <w:rFonts w:ascii="Calibri" w:hAnsi="Calibri" w:cs="Calibri"/>
          <w:color w:val="231F20"/>
          <w:vertAlign w:val="superscript"/>
          <w:lang w:val="en-US"/>
        </w:rPr>
        <w:t>85</w:t>
      </w:r>
      <w:r w:rsidR="0066785F" w:rsidRPr="0066785F">
        <w:rPr>
          <w:rFonts w:ascii="Calibri" w:hAnsi="Calibri" w:cs="Calibri"/>
          <w:color w:val="231F20"/>
          <w:lang w:val="en-US"/>
        </w:rPr>
        <w:t xml:space="preserve">Rb and </w:t>
      </w:r>
      <w:r w:rsidR="0066785F" w:rsidRPr="0066785F">
        <w:rPr>
          <w:rFonts w:ascii="Calibri" w:hAnsi="Calibri" w:cs="Calibri"/>
          <w:color w:val="231F20"/>
          <w:vertAlign w:val="superscript"/>
          <w:lang w:val="en-US"/>
        </w:rPr>
        <w:t>83</w:t>
      </w:r>
      <w:r w:rsidR="0066785F" w:rsidRPr="0066785F">
        <w:rPr>
          <w:rFonts w:ascii="Calibri" w:hAnsi="Calibri" w:cs="Calibri"/>
          <w:color w:val="231F20"/>
          <w:lang w:val="en-US"/>
        </w:rPr>
        <w:t>Kr as the monitor masses but were insignificant.</w:t>
      </w:r>
      <w:r w:rsidR="0066785F">
        <w:rPr>
          <w:rFonts w:ascii="Calibri" w:hAnsi="Calibri" w:cs="Calibri"/>
          <w:color w:val="231F20"/>
          <w:lang w:val="en-US"/>
        </w:rPr>
        <w:t xml:space="preserve"> </w:t>
      </w:r>
      <w:r w:rsidR="00C14CB9" w:rsidRPr="00C14CB9">
        <w:rPr>
          <w:rFonts w:ascii="Calibri" w:hAnsi="Calibri" w:cs="Calibri"/>
          <w:color w:val="231F20"/>
          <w:lang w:val="en-US"/>
        </w:rPr>
        <w:t xml:space="preserve">The average </w:t>
      </w:r>
      <w:r w:rsidR="00790415" w:rsidRPr="00790415">
        <w:rPr>
          <w:rFonts w:ascii="Calibri" w:hAnsi="Calibri" w:cs="Calibri"/>
          <w:color w:val="231F20"/>
          <w:vertAlign w:val="superscript"/>
          <w:lang w:val="en-US"/>
        </w:rPr>
        <w:t>87</w:t>
      </w:r>
      <w:r w:rsidR="00790415">
        <w:rPr>
          <w:rFonts w:ascii="Calibri" w:hAnsi="Calibri" w:cs="Calibri"/>
          <w:color w:val="231F20"/>
          <w:lang w:val="en-US"/>
        </w:rPr>
        <w:t>Sr/</w:t>
      </w:r>
      <w:r w:rsidR="00790415" w:rsidRPr="00790415">
        <w:rPr>
          <w:rFonts w:ascii="Calibri" w:hAnsi="Calibri" w:cs="Calibri"/>
          <w:color w:val="231F20"/>
          <w:vertAlign w:val="superscript"/>
          <w:lang w:val="en-US"/>
        </w:rPr>
        <w:t>86</w:t>
      </w:r>
      <w:r w:rsidR="00790415">
        <w:rPr>
          <w:rFonts w:ascii="Calibri" w:hAnsi="Calibri" w:cs="Calibri"/>
          <w:color w:val="231F20"/>
          <w:lang w:val="en-US"/>
        </w:rPr>
        <w:t>Sr ratio</w:t>
      </w:r>
      <w:r w:rsidR="00C14CB9" w:rsidRPr="00C14CB9">
        <w:rPr>
          <w:rFonts w:ascii="Calibri" w:hAnsi="Calibri" w:cs="Calibri"/>
          <w:color w:val="231F20"/>
          <w:lang w:val="en-US"/>
        </w:rPr>
        <w:t xml:space="preserve"> for the</w:t>
      </w:r>
      <w:r w:rsidR="00C14CB9">
        <w:rPr>
          <w:rFonts w:ascii="Calibri" w:hAnsi="Calibri" w:cs="Calibri"/>
          <w:color w:val="231F20"/>
          <w:lang w:val="en-US"/>
        </w:rPr>
        <w:t xml:space="preserve"> </w:t>
      </w:r>
      <w:r w:rsidR="0022214F">
        <w:rPr>
          <w:rFonts w:ascii="Calibri" w:hAnsi="Calibri" w:cs="Calibri"/>
          <w:color w:val="231F20"/>
          <w:lang w:val="en-US"/>
        </w:rPr>
        <w:t>NBS987 isotope reference material</w:t>
      </w:r>
      <w:r w:rsidR="00C14CB9" w:rsidRPr="00C14CB9">
        <w:rPr>
          <w:rFonts w:ascii="Calibri" w:hAnsi="Calibri" w:cs="Calibri"/>
          <w:color w:val="231F20"/>
          <w:lang w:val="en-US"/>
        </w:rPr>
        <w:t xml:space="preserve"> </w:t>
      </w:r>
      <w:r w:rsidR="0022214F">
        <w:rPr>
          <w:rFonts w:ascii="Calibri" w:hAnsi="Calibri" w:cs="Calibri"/>
          <w:color w:val="231F20"/>
          <w:lang w:val="en-US"/>
        </w:rPr>
        <w:t>during</w:t>
      </w:r>
      <w:r w:rsidR="00C14CB9" w:rsidRPr="00C14CB9">
        <w:rPr>
          <w:rFonts w:ascii="Calibri" w:hAnsi="Calibri" w:cs="Calibri"/>
          <w:color w:val="231F20"/>
          <w:lang w:val="en-US"/>
        </w:rPr>
        <w:t xml:space="preserve"> </w:t>
      </w:r>
      <w:r w:rsidR="00CC7626">
        <w:rPr>
          <w:rFonts w:ascii="Calibri" w:hAnsi="Calibri" w:cs="Calibri"/>
          <w:color w:val="231F20"/>
          <w:lang w:val="en-US"/>
        </w:rPr>
        <w:t>the analytical</w:t>
      </w:r>
      <w:r w:rsidR="00C14CB9" w:rsidRPr="00C14CB9">
        <w:rPr>
          <w:rFonts w:ascii="Calibri" w:hAnsi="Calibri" w:cs="Calibri"/>
          <w:color w:val="231F20"/>
          <w:lang w:val="en-US"/>
        </w:rPr>
        <w:t xml:space="preserve"> session </w:t>
      </w:r>
      <w:r w:rsidR="00CC7626">
        <w:rPr>
          <w:rFonts w:ascii="Calibri" w:hAnsi="Calibri" w:cs="Calibri"/>
          <w:color w:val="231F20"/>
          <w:lang w:val="en-US"/>
        </w:rPr>
        <w:t xml:space="preserve">was </w:t>
      </w:r>
      <w:r w:rsidR="00CC7626" w:rsidRPr="00CC7626">
        <w:rPr>
          <w:rFonts w:ascii="Calibri" w:hAnsi="Calibri" w:cs="Calibri"/>
          <w:color w:val="231F20"/>
          <w:lang w:val="en-US"/>
        </w:rPr>
        <w:t>0.710238</w:t>
      </w:r>
      <w:r w:rsidR="00CC7626">
        <w:rPr>
          <w:rFonts w:ascii="Calibri" w:hAnsi="Calibri" w:cs="Calibri"/>
          <w:color w:val="231F20"/>
          <w:lang w:val="en-US"/>
        </w:rPr>
        <w:t xml:space="preserve"> </w:t>
      </w:r>
      <w:r w:rsidR="00CC7626" w:rsidRPr="00CC7626">
        <w:rPr>
          <w:rFonts w:ascii="Calibri" w:hAnsi="Calibri" w:cs="Calibri"/>
          <w:color w:val="231F20"/>
          <w:lang w:val="en-US"/>
        </w:rPr>
        <w:t>±0.0000015 (2SD; n=11).</w:t>
      </w:r>
      <w:r w:rsidR="000E236F">
        <w:rPr>
          <w:rFonts w:ascii="Calibri" w:hAnsi="Calibri" w:cs="Calibri"/>
          <w:color w:val="231F20"/>
          <w:lang w:val="en-US"/>
        </w:rPr>
        <w:t xml:space="preserve"> </w:t>
      </w:r>
      <w:r w:rsidR="000E236F" w:rsidRPr="000E236F">
        <w:rPr>
          <w:rFonts w:ascii="Calibri" w:hAnsi="Calibri" w:cs="Calibri"/>
          <w:color w:val="231F20"/>
          <w:lang w:val="en-US"/>
        </w:rPr>
        <w:t xml:space="preserve">Sr isotope data for </w:t>
      </w:r>
      <w:r w:rsidR="000E236F">
        <w:rPr>
          <w:rFonts w:ascii="Calibri" w:hAnsi="Calibri" w:cs="Calibri"/>
          <w:color w:val="231F20"/>
          <w:lang w:val="en-US"/>
        </w:rPr>
        <w:t>E224</w:t>
      </w:r>
      <w:r w:rsidR="000E236F" w:rsidRPr="000E236F">
        <w:rPr>
          <w:rFonts w:ascii="Calibri" w:hAnsi="Calibri" w:cs="Calibri"/>
          <w:color w:val="231F20"/>
          <w:lang w:val="en-US"/>
        </w:rPr>
        <w:t xml:space="preserve"> is </w:t>
      </w:r>
      <w:proofErr w:type="spellStart"/>
      <w:r w:rsidR="000E236F" w:rsidRPr="000E236F">
        <w:rPr>
          <w:rFonts w:ascii="Calibri" w:hAnsi="Calibri" w:cs="Calibri"/>
          <w:color w:val="231F20"/>
          <w:lang w:val="en-US"/>
        </w:rPr>
        <w:t>normalised</w:t>
      </w:r>
      <w:proofErr w:type="spellEnd"/>
      <w:r w:rsidR="000E236F" w:rsidRPr="000E236F">
        <w:rPr>
          <w:rFonts w:ascii="Calibri" w:hAnsi="Calibri" w:cs="Calibri"/>
          <w:color w:val="231F20"/>
          <w:lang w:val="en-US"/>
        </w:rPr>
        <w:t xml:space="preserve"> to an ‘accepted’ value for NBS987 of 0.71024.</w:t>
      </w:r>
    </w:p>
    <w:p w14:paraId="5A538266" w14:textId="77777777" w:rsidR="000E236F" w:rsidRDefault="000E236F" w:rsidP="00CC7626">
      <w:pPr>
        <w:autoSpaceDE w:val="0"/>
        <w:autoSpaceDN w:val="0"/>
        <w:adjustRightInd w:val="0"/>
        <w:jc w:val="both"/>
        <w:rPr>
          <w:rFonts w:ascii="Calibri" w:hAnsi="Calibri" w:cs="Calibri"/>
          <w:color w:val="231F20"/>
          <w:lang w:val="en-US"/>
        </w:rPr>
      </w:pPr>
    </w:p>
    <w:p w14:paraId="368AB085" w14:textId="2A205C8E" w:rsidR="00C14CB9" w:rsidRDefault="00CC7626" w:rsidP="00CC7626">
      <w:pPr>
        <w:autoSpaceDE w:val="0"/>
        <w:autoSpaceDN w:val="0"/>
        <w:adjustRightInd w:val="0"/>
        <w:jc w:val="both"/>
        <w:rPr>
          <w:rFonts w:ascii="Calibri" w:hAnsi="Calibri" w:cs="Calibri"/>
          <w:color w:val="231F20"/>
          <w:lang w:val="en-US"/>
        </w:rPr>
      </w:pPr>
      <w:r>
        <w:rPr>
          <w:rFonts w:ascii="Calibri" w:hAnsi="Calibri" w:cs="Calibri"/>
          <w:color w:val="231F20"/>
          <w:lang w:val="en-US"/>
        </w:rPr>
        <w:t xml:space="preserve">Two total procedural blanks were also prepared and run alongside the sample in order to </w:t>
      </w:r>
      <w:r w:rsidR="000E236F">
        <w:rPr>
          <w:rFonts w:ascii="Calibri" w:hAnsi="Calibri" w:cs="Calibri"/>
          <w:color w:val="231F20"/>
          <w:lang w:val="en-US"/>
        </w:rPr>
        <w:t>check</w:t>
      </w:r>
      <w:r>
        <w:rPr>
          <w:rFonts w:ascii="Calibri" w:hAnsi="Calibri" w:cs="Calibri"/>
          <w:color w:val="231F20"/>
          <w:lang w:val="en-US"/>
        </w:rPr>
        <w:t xml:space="preserve"> for possible contamination, with both containing &lt;15pg Sr</w:t>
      </w:r>
      <w:r w:rsidR="000E236F">
        <w:rPr>
          <w:rFonts w:ascii="Calibri" w:hAnsi="Calibri" w:cs="Calibri"/>
          <w:color w:val="231F20"/>
          <w:lang w:val="en-US"/>
        </w:rPr>
        <w:t xml:space="preserve"> (4 and 12 </w:t>
      </w:r>
      <w:proofErr w:type="spellStart"/>
      <w:r w:rsidR="000E236F">
        <w:rPr>
          <w:rFonts w:ascii="Calibri" w:hAnsi="Calibri" w:cs="Calibri"/>
          <w:color w:val="231F20"/>
          <w:lang w:val="en-US"/>
        </w:rPr>
        <w:t>pg</w:t>
      </w:r>
      <w:proofErr w:type="spellEnd"/>
      <w:r w:rsidR="000E236F">
        <w:rPr>
          <w:rFonts w:ascii="Calibri" w:hAnsi="Calibri" w:cs="Calibri"/>
          <w:color w:val="231F20"/>
          <w:lang w:val="en-US"/>
        </w:rPr>
        <w:t>)</w:t>
      </w:r>
      <w:r>
        <w:rPr>
          <w:rFonts w:ascii="Calibri" w:hAnsi="Calibri" w:cs="Calibri"/>
          <w:color w:val="231F20"/>
          <w:lang w:val="en-US"/>
        </w:rPr>
        <w:t xml:space="preserve">. The </w:t>
      </w:r>
      <w:proofErr w:type="spellStart"/>
      <w:r w:rsidR="000E236F">
        <w:rPr>
          <w:rFonts w:ascii="Calibri" w:hAnsi="Calibri" w:cs="Calibri"/>
          <w:color w:val="231F20"/>
          <w:lang w:val="en-US"/>
        </w:rPr>
        <w:t>analysed</w:t>
      </w:r>
      <w:proofErr w:type="spellEnd"/>
      <w:r w:rsidR="000E236F">
        <w:rPr>
          <w:rFonts w:ascii="Calibri" w:hAnsi="Calibri" w:cs="Calibri"/>
          <w:color w:val="231F20"/>
          <w:lang w:val="en-US"/>
        </w:rPr>
        <w:t xml:space="preserve"> E224 </w:t>
      </w:r>
      <w:r>
        <w:rPr>
          <w:rFonts w:ascii="Calibri" w:hAnsi="Calibri" w:cs="Calibri"/>
          <w:color w:val="231F20"/>
          <w:lang w:val="en-US"/>
        </w:rPr>
        <w:t xml:space="preserve">sample </w:t>
      </w:r>
      <w:r w:rsidR="000E236F">
        <w:rPr>
          <w:rFonts w:ascii="Calibri" w:hAnsi="Calibri" w:cs="Calibri"/>
          <w:color w:val="231F20"/>
          <w:lang w:val="en-US"/>
        </w:rPr>
        <w:t xml:space="preserve">aliquot </w:t>
      </w:r>
      <w:r>
        <w:rPr>
          <w:rFonts w:ascii="Calibri" w:hAnsi="Calibri" w:cs="Calibri"/>
          <w:color w:val="231F20"/>
          <w:lang w:val="en-US"/>
        </w:rPr>
        <w:t xml:space="preserve">contained over </w:t>
      </w:r>
      <w:r w:rsidR="000E236F">
        <w:rPr>
          <w:rFonts w:ascii="Calibri" w:hAnsi="Calibri" w:cs="Calibri"/>
          <w:color w:val="231F20"/>
          <w:lang w:val="en-US"/>
        </w:rPr>
        <w:t>150ng</w:t>
      </w:r>
      <w:r>
        <w:rPr>
          <w:rFonts w:ascii="Calibri" w:hAnsi="Calibri" w:cs="Calibri"/>
          <w:color w:val="231F20"/>
          <w:lang w:val="en-US"/>
        </w:rPr>
        <w:t xml:space="preserve"> Sr</w:t>
      </w:r>
      <w:r w:rsidR="000E236F">
        <w:rPr>
          <w:rFonts w:ascii="Calibri" w:hAnsi="Calibri" w:cs="Calibri"/>
          <w:color w:val="231F20"/>
          <w:lang w:val="en-US"/>
        </w:rPr>
        <w:t>. The</w:t>
      </w:r>
      <w:r w:rsidRPr="00CC7626">
        <w:rPr>
          <w:rFonts w:ascii="Calibri" w:hAnsi="Calibri" w:cs="Calibri"/>
          <w:color w:val="231F20"/>
          <w:lang w:val="en-US"/>
        </w:rPr>
        <w:t xml:space="preserve"> blank</w:t>
      </w:r>
      <w:r>
        <w:rPr>
          <w:rFonts w:ascii="Calibri" w:hAnsi="Calibri" w:cs="Calibri"/>
          <w:color w:val="231F20"/>
          <w:lang w:val="en-US"/>
        </w:rPr>
        <w:t xml:space="preserve"> Sr </w:t>
      </w:r>
      <w:r w:rsidR="000E236F">
        <w:rPr>
          <w:rFonts w:ascii="Calibri" w:hAnsi="Calibri" w:cs="Calibri"/>
          <w:color w:val="231F20"/>
          <w:lang w:val="en-US"/>
        </w:rPr>
        <w:t>contribution</w:t>
      </w:r>
      <w:r>
        <w:rPr>
          <w:rFonts w:ascii="Calibri" w:hAnsi="Calibri" w:cs="Calibri"/>
          <w:color w:val="231F20"/>
          <w:lang w:val="en-US"/>
        </w:rPr>
        <w:t xml:space="preserve"> is </w:t>
      </w:r>
      <w:r w:rsidR="000E236F">
        <w:rPr>
          <w:rFonts w:ascii="Calibri" w:hAnsi="Calibri" w:cs="Calibri"/>
          <w:color w:val="231F20"/>
          <w:lang w:val="en-US"/>
        </w:rPr>
        <w:t xml:space="preserve">therefore </w:t>
      </w:r>
      <w:r>
        <w:rPr>
          <w:rFonts w:ascii="Calibri" w:hAnsi="Calibri" w:cs="Calibri"/>
          <w:color w:val="231F20"/>
          <w:lang w:val="en-US"/>
        </w:rPr>
        <w:t xml:space="preserve">insignificant </w:t>
      </w:r>
      <w:r w:rsidR="000E236F">
        <w:rPr>
          <w:rFonts w:ascii="Calibri" w:hAnsi="Calibri" w:cs="Calibri"/>
          <w:color w:val="231F20"/>
          <w:lang w:val="en-US"/>
        </w:rPr>
        <w:t xml:space="preserve">(~0.01%) </w:t>
      </w:r>
      <w:r>
        <w:rPr>
          <w:rFonts w:ascii="Calibri" w:hAnsi="Calibri" w:cs="Calibri"/>
          <w:color w:val="231F20"/>
          <w:lang w:val="en-US"/>
        </w:rPr>
        <w:t xml:space="preserve">given the very high Sr concentration in the sample. </w:t>
      </w:r>
    </w:p>
    <w:p w14:paraId="368B7DB1" w14:textId="2061BB6E" w:rsidR="009402A3" w:rsidRDefault="009402A3" w:rsidP="00CC7626">
      <w:pPr>
        <w:autoSpaceDE w:val="0"/>
        <w:autoSpaceDN w:val="0"/>
        <w:adjustRightInd w:val="0"/>
        <w:jc w:val="both"/>
        <w:rPr>
          <w:rFonts w:ascii="Calibri" w:hAnsi="Calibri" w:cs="Calibri"/>
          <w:color w:val="231F20"/>
          <w:lang w:val="en-US"/>
        </w:rPr>
      </w:pPr>
    </w:p>
    <w:p w14:paraId="6060336A" w14:textId="32028781" w:rsidR="009402A3" w:rsidRDefault="009402A3" w:rsidP="00CC7626">
      <w:pPr>
        <w:autoSpaceDE w:val="0"/>
        <w:autoSpaceDN w:val="0"/>
        <w:adjustRightInd w:val="0"/>
        <w:jc w:val="both"/>
        <w:rPr>
          <w:rFonts w:ascii="Calibri" w:hAnsi="Calibri" w:cs="Calibri"/>
          <w:color w:val="231F20"/>
          <w:lang w:val="en-US"/>
        </w:rPr>
      </w:pPr>
      <w:r>
        <w:rPr>
          <w:rFonts w:ascii="Calibri" w:hAnsi="Calibri" w:cs="Calibri"/>
          <w:color w:val="231F20"/>
          <w:lang w:val="en-US"/>
        </w:rPr>
        <w:t>References</w:t>
      </w:r>
    </w:p>
    <w:p w14:paraId="449D2635" w14:textId="77777777" w:rsidR="009402A3" w:rsidRDefault="009402A3" w:rsidP="00CC7626">
      <w:pPr>
        <w:autoSpaceDE w:val="0"/>
        <w:autoSpaceDN w:val="0"/>
        <w:adjustRightInd w:val="0"/>
        <w:jc w:val="both"/>
        <w:rPr>
          <w:rFonts w:ascii="Calibri" w:hAnsi="Calibri" w:cs="Calibri"/>
          <w:color w:val="231F20"/>
          <w:lang w:val="en-GB"/>
        </w:rPr>
      </w:pPr>
    </w:p>
    <w:p w14:paraId="46987ABC" w14:textId="77777777" w:rsidR="009402A3" w:rsidRDefault="009402A3" w:rsidP="00CC7626">
      <w:pPr>
        <w:autoSpaceDE w:val="0"/>
        <w:autoSpaceDN w:val="0"/>
        <w:adjustRightInd w:val="0"/>
        <w:jc w:val="both"/>
        <w:rPr>
          <w:rFonts w:ascii="Calibri" w:hAnsi="Calibri" w:cs="Calibri"/>
          <w:color w:val="231F20"/>
          <w:lang w:val="en-GB"/>
        </w:rPr>
      </w:pPr>
    </w:p>
    <w:p w14:paraId="5A5F2182" w14:textId="77777777" w:rsidR="008E551B" w:rsidRPr="008E551B" w:rsidRDefault="009402A3" w:rsidP="008E551B">
      <w:pPr>
        <w:pStyle w:val="EndNoteBibliography"/>
        <w:ind w:left="720" w:hanging="720"/>
        <w:rPr>
          <w:noProof/>
        </w:rPr>
      </w:pPr>
      <w:r>
        <w:rPr>
          <w:color w:val="231F20"/>
          <w:lang w:val="en-GB"/>
        </w:rPr>
        <w:fldChar w:fldCharType="begin"/>
      </w:r>
      <w:r>
        <w:rPr>
          <w:color w:val="231F20"/>
          <w:lang w:val="en-GB"/>
        </w:rPr>
        <w:instrText xml:space="preserve"> ADDIN EN.REFLIST </w:instrText>
      </w:r>
      <w:r>
        <w:rPr>
          <w:color w:val="231F20"/>
          <w:lang w:val="en-GB"/>
        </w:rPr>
        <w:fldChar w:fldCharType="separate"/>
      </w:r>
      <w:r w:rsidR="008E551B" w:rsidRPr="008E551B">
        <w:rPr>
          <w:noProof/>
        </w:rPr>
        <w:t xml:space="preserve">Beaumont, J., Gledhill, A., Lee-Thorp, J. &amp; Montgomery, J. 2013. Childhood diet: A closer examination of the evidence from dental tissues using stable isotope analysis of incremental human dentine. </w:t>
      </w:r>
      <w:r w:rsidR="008E551B" w:rsidRPr="008E551B">
        <w:rPr>
          <w:i/>
          <w:noProof/>
        </w:rPr>
        <w:t>Archaeometry,</w:t>
      </w:r>
      <w:r w:rsidR="008E551B" w:rsidRPr="008E551B">
        <w:rPr>
          <w:noProof/>
        </w:rPr>
        <w:t xml:space="preserve"> 55: 277–95.</w:t>
      </w:r>
    </w:p>
    <w:p w14:paraId="4D8A4CB8" w14:textId="77777777" w:rsidR="008E551B" w:rsidRPr="008E551B" w:rsidRDefault="008E551B" w:rsidP="008E551B">
      <w:pPr>
        <w:pStyle w:val="EndNoteBibliography"/>
        <w:ind w:left="720" w:hanging="720"/>
        <w:rPr>
          <w:noProof/>
        </w:rPr>
      </w:pPr>
      <w:r w:rsidRPr="008E551B">
        <w:rPr>
          <w:noProof/>
        </w:rPr>
        <w:t xml:space="preserve">Font, L., Davidson, J., Pearson, D., Nowell, G., Jerram, D. &amp; Ottley, C. 2008. Sr and Pb isotope micro-analysis of plagioclase crystals from Skye Lavas: an insight into open-system processes in a flood basalt Province. </w:t>
      </w:r>
      <w:r w:rsidRPr="008E551B">
        <w:rPr>
          <w:i/>
          <w:noProof/>
        </w:rPr>
        <w:t xml:space="preserve">Journal of Petrology </w:t>
      </w:r>
      <w:r w:rsidRPr="008E551B">
        <w:rPr>
          <w:noProof/>
        </w:rPr>
        <w:t>49: 1449-1471.</w:t>
      </w:r>
    </w:p>
    <w:p w14:paraId="11A30DBD" w14:textId="77777777" w:rsidR="008E551B" w:rsidRPr="008E551B" w:rsidRDefault="008E551B" w:rsidP="008E551B">
      <w:pPr>
        <w:pStyle w:val="EndNoteBibliography"/>
        <w:ind w:left="720" w:hanging="720"/>
        <w:rPr>
          <w:noProof/>
        </w:rPr>
      </w:pPr>
      <w:r w:rsidRPr="008E551B">
        <w:rPr>
          <w:noProof/>
        </w:rPr>
        <w:t xml:space="preserve">Ginolhac, A., Rasmussen, M., Gilbert, M., Willerslev, E. &amp; Orlando, L. 2011. mapDamage: testing for damage patterns in ancient DNA sequences. </w:t>
      </w:r>
      <w:r w:rsidRPr="008E551B">
        <w:rPr>
          <w:i/>
          <w:noProof/>
        </w:rPr>
        <w:t xml:space="preserve">Bioinformatics </w:t>
      </w:r>
      <w:r w:rsidRPr="008E551B">
        <w:rPr>
          <w:noProof/>
        </w:rPr>
        <w:t>27: 2153-2155.</w:t>
      </w:r>
    </w:p>
    <w:p w14:paraId="07634F4F" w14:textId="27D9AC9B" w:rsidR="008E551B" w:rsidRDefault="008E551B" w:rsidP="008E551B">
      <w:pPr>
        <w:pStyle w:val="EndNoteBibliography"/>
        <w:ind w:left="720" w:hanging="720"/>
        <w:rPr>
          <w:noProof/>
        </w:rPr>
      </w:pPr>
      <w:r w:rsidRPr="006A2BA2">
        <w:rPr>
          <w:noProof/>
        </w:rPr>
        <w:t>King C, Buckley H, Petchey P, Kinaston R, Millard A, Zech J, Roberts P, Matisoo-Smith E, Nowell G, Gröcke D 2020. A multi-isotope, multi-tissue study of colonial origins and diet in New Zealand. American Journal of Physical Anthropology 172: 605-620.</w:t>
      </w:r>
    </w:p>
    <w:p w14:paraId="227DFF96" w14:textId="4D531541" w:rsidR="008E551B" w:rsidRPr="008E551B" w:rsidRDefault="008E551B" w:rsidP="008E551B">
      <w:pPr>
        <w:pStyle w:val="EndNoteBibliography"/>
        <w:ind w:left="720" w:hanging="720"/>
        <w:rPr>
          <w:noProof/>
        </w:rPr>
      </w:pPr>
      <w:r w:rsidRPr="008E551B">
        <w:rPr>
          <w:noProof/>
        </w:rPr>
        <w:t xml:space="preserve">Knapp, M., Horsburgh, K. A., Prost, S., Stanton, J., Buckley, H., Walter, R. K. &amp; Matisoo-Smith, E. A. 2012. Complete mitochondrial DNA genome sequences from the first New Zealanders. </w:t>
      </w:r>
      <w:r w:rsidRPr="008E551B">
        <w:rPr>
          <w:i/>
          <w:noProof/>
        </w:rPr>
        <w:t>Proceedings of the National Academy of Sciences of the United States of America</w:t>
      </w:r>
      <w:r w:rsidRPr="008E551B">
        <w:rPr>
          <w:noProof/>
        </w:rPr>
        <w:t>.</w:t>
      </w:r>
    </w:p>
    <w:p w14:paraId="1730E11F" w14:textId="77777777" w:rsidR="008E551B" w:rsidRPr="008E551B" w:rsidRDefault="008E551B" w:rsidP="008E551B">
      <w:pPr>
        <w:pStyle w:val="EndNoteBibliography"/>
        <w:ind w:left="720" w:hanging="720"/>
        <w:rPr>
          <w:noProof/>
        </w:rPr>
      </w:pPr>
      <w:r w:rsidRPr="008E551B">
        <w:rPr>
          <w:noProof/>
        </w:rPr>
        <w:t xml:space="preserve">Matisoo-Smith, E., Gosling, A., Boocock, J., Kardailsky, O., Kurumilian, Y., Roudesli-Chebbi, S., Badre, L., Morel, J.-P., Sebaï, L. &amp; Zalloua, P. 2016. A European Mitochondrial Haplotype Identified in Ancient Phoenician Remains from Carthage, North Africa. </w:t>
      </w:r>
      <w:r w:rsidRPr="008E551B">
        <w:rPr>
          <w:i/>
          <w:noProof/>
        </w:rPr>
        <w:t xml:space="preserve">PLoS ONE </w:t>
      </w:r>
      <w:r w:rsidRPr="008E551B">
        <w:rPr>
          <w:noProof/>
        </w:rPr>
        <w:t>11: e0155046.</w:t>
      </w:r>
    </w:p>
    <w:p w14:paraId="17883AD5" w14:textId="335112B1" w:rsidR="00027959" w:rsidRDefault="009402A3" w:rsidP="00CC7626">
      <w:pPr>
        <w:autoSpaceDE w:val="0"/>
        <w:autoSpaceDN w:val="0"/>
        <w:adjustRightInd w:val="0"/>
        <w:jc w:val="both"/>
        <w:rPr>
          <w:rFonts w:ascii="Calibri" w:hAnsi="Calibri" w:cs="Calibri"/>
          <w:color w:val="231F20"/>
          <w:lang w:val="en-GB"/>
        </w:rPr>
      </w:pPr>
      <w:r>
        <w:rPr>
          <w:rFonts w:ascii="Calibri" w:hAnsi="Calibri" w:cs="Calibri"/>
          <w:color w:val="231F20"/>
          <w:lang w:val="en-GB"/>
        </w:rPr>
        <w:fldChar w:fldCharType="end"/>
      </w:r>
    </w:p>
    <w:p w14:paraId="4846E545" w14:textId="77777777" w:rsidR="00027959" w:rsidRDefault="00027959">
      <w:pPr>
        <w:rPr>
          <w:rFonts w:ascii="Calibri" w:hAnsi="Calibri" w:cs="Calibri"/>
          <w:color w:val="231F20"/>
          <w:lang w:val="en-GB"/>
        </w:rPr>
      </w:pPr>
      <w:r>
        <w:rPr>
          <w:rFonts w:ascii="Calibri" w:hAnsi="Calibri" w:cs="Calibri"/>
          <w:color w:val="231F20"/>
          <w:lang w:val="en-GB"/>
        </w:rPr>
        <w:br w:type="page"/>
      </w:r>
    </w:p>
    <w:p w14:paraId="6D721B76" w14:textId="77777777" w:rsidR="00027959" w:rsidRDefault="00027959" w:rsidP="00CC7626">
      <w:pPr>
        <w:autoSpaceDE w:val="0"/>
        <w:autoSpaceDN w:val="0"/>
        <w:adjustRightInd w:val="0"/>
        <w:jc w:val="both"/>
        <w:rPr>
          <w:rFonts w:ascii="Calibri" w:hAnsi="Calibri" w:cs="Calibri"/>
          <w:color w:val="231F20"/>
          <w:lang w:val="en-GB"/>
        </w:rPr>
        <w:sectPr w:rsidR="00027959" w:rsidSect="00CF5C3F">
          <w:pgSz w:w="11900" w:h="16840"/>
          <w:pgMar w:top="1440" w:right="1440" w:bottom="1440" w:left="1440" w:header="708" w:footer="708" w:gutter="0"/>
          <w:cols w:space="708"/>
          <w:docGrid w:linePitch="360"/>
        </w:sectPr>
      </w:pPr>
    </w:p>
    <w:tbl>
      <w:tblPr>
        <w:tblStyle w:val="TableGrid"/>
        <w:tblW w:w="13651" w:type="dxa"/>
        <w:tblLook w:val="04A0" w:firstRow="1" w:lastRow="0" w:firstColumn="1" w:lastColumn="0" w:noHBand="0" w:noVBand="1"/>
      </w:tblPr>
      <w:tblGrid>
        <w:gridCol w:w="1528"/>
        <w:gridCol w:w="3570"/>
        <w:gridCol w:w="2268"/>
        <w:gridCol w:w="1985"/>
        <w:gridCol w:w="1244"/>
        <w:gridCol w:w="1528"/>
        <w:gridCol w:w="1528"/>
      </w:tblGrid>
      <w:tr w:rsidR="00027959" w:rsidRPr="008D1806" w14:paraId="38E15DAA" w14:textId="77777777" w:rsidTr="009351B8">
        <w:trPr>
          <w:trHeight w:val="315"/>
        </w:trPr>
        <w:tc>
          <w:tcPr>
            <w:tcW w:w="1528" w:type="dxa"/>
            <w:noWrap/>
            <w:hideMark/>
          </w:tcPr>
          <w:p w14:paraId="39808BA1" w14:textId="77777777" w:rsidR="00027959" w:rsidRPr="008D1806" w:rsidRDefault="00027959" w:rsidP="009351B8">
            <w:pPr>
              <w:jc w:val="center"/>
              <w:rPr>
                <w:rFonts w:ascii="Calibri" w:eastAsia="Times New Roman" w:hAnsi="Calibri" w:cs="Times New Roman"/>
                <w:b/>
                <w:bCs/>
                <w:color w:val="000000"/>
              </w:rPr>
            </w:pPr>
            <w:r w:rsidRPr="008D1806">
              <w:rPr>
                <w:rFonts w:ascii="Calibri" w:eastAsia="Times New Roman" w:hAnsi="Calibri" w:cs="Times New Roman"/>
                <w:b/>
                <w:bCs/>
                <w:color w:val="000000"/>
              </w:rPr>
              <w:lastRenderedPageBreak/>
              <w:t>sample</w:t>
            </w:r>
          </w:p>
        </w:tc>
        <w:tc>
          <w:tcPr>
            <w:tcW w:w="3570" w:type="dxa"/>
            <w:noWrap/>
            <w:hideMark/>
          </w:tcPr>
          <w:p w14:paraId="13797775" w14:textId="77777777" w:rsidR="00027959" w:rsidRPr="008D1806" w:rsidRDefault="00027959" w:rsidP="009351B8">
            <w:pPr>
              <w:jc w:val="center"/>
              <w:rPr>
                <w:rFonts w:ascii="Calibri" w:eastAsia="Times New Roman" w:hAnsi="Calibri" w:cs="Times New Roman"/>
                <w:b/>
                <w:bCs/>
                <w:color w:val="000000"/>
              </w:rPr>
            </w:pPr>
            <w:r w:rsidRPr="008D1806">
              <w:rPr>
                <w:rFonts w:ascii="Calibri" w:eastAsia="Times New Roman" w:hAnsi="Calibri" w:cs="Times New Roman"/>
                <w:b/>
                <w:bCs/>
                <w:color w:val="000000"/>
              </w:rPr>
              <w:t>average age represented (years)</w:t>
            </w:r>
          </w:p>
        </w:tc>
        <w:tc>
          <w:tcPr>
            <w:tcW w:w="2268" w:type="dxa"/>
            <w:noWrap/>
            <w:hideMark/>
          </w:tcPr>
          <w:p w14:paraId="35E8806C" w14:textId="77777777" w:rsidR="00027959" w:rsidRPr="008D1806" w:rsidRDefault="00027959" w:rsidP="009351B8">
            <w:pPr>
              <w:jc w:val="center"/>
              <w:rPr>
                <w:rFonts w:ascii="Calibri" w:eastAsia="Times New Roman" w:hAnsi="Calibri" w:cs="Times New Roman"/>
                <w:b/>
                <w:bCs/>
                <w:color w:val="000000"/>
              </w:rPr>
            </w:pPr>
            <w:r w:rsidRPr="008D1806">
              <w:rPr>
                <w:rFonts w:ascii="Calibri" w:hAnsi="Calibri"/>
                <w:b/>
              </w:rPr>
              <w:t>δ</w:t>
            </w:r>
            <w:r w:rsidRPr="008D1806">
              <w:rPr>
                <w:rFonts w:ascii="Calibri" w:hAnsi="Calibri"/>
                <w:b/>
                <w:vertAlign w:val="superscript"/>
              </w:rPr>
              <w:t>13</w:t>
            </w:r>
            <w:r w:rsidRPr="008D1806">
              <w:rPr>
                <w:rFonts w:ascii="Calibri" w:hAnsi="Calibri"/>
                <w:b/>
              </w:rPr>
              <w:t>C (</w:t>
            </w:r>
            <w:r w:rsidRPr="008D1806">
              <w:rPr>
                <w:b/>
              </w:rPr>
              <w:t xml:space="preserve">‰, </w:t>
            </w:r>
            <w:r w:rsidRPr="008D1806">
              <w:rPr>
                <w:rFonts w:ascii="Calibri" w:hAnsi="Calibri"/>
                <w:b/>
              </w:rPr>
              <w:t>VPDB)</w:t>
            </w:r>
          </w:p>
        </w:tc>
        <w:tc>
          <w:tcPr>
            <w:tcW w:w="1985" w:type="dxa"/>
            <w:noWrap/>
            <w:hideMark/>
          </w:tcPr>
          <w:p w14:paraId="33937C90" w14:textId="77777777" w:rsidR="00027959" w:rsidRPr="008D1806" w:rsidRDefault="00027959" w:rsidP="009351B8">
            <w:pPr>
              <w:jc w:val="center"/>
              <w:rPr>
                <w:rFonts w:ascii="Calibri" w:eastAsia="Times New Roman" w:hAnsi="Calibri" w:cs="Times New Roman"/>
                <w:b/>
                <w:bCs/>
                <w:color w:val="000000"/>
              </w:rPr>
            </w:pPr>
            <w:r w:rsidRPr="008D1806">
              <w:rPr>
                <w:rFonts w:ascii="Calibri" w:hAnsi="Calibri"/>
                <w:b/>
              </w:rPr>
              <w:t>δ</w:t>
            </w:r>
            <w:r w:rsidRPr="008D1806">
              <w:rPr>
                <w:rFonts w:ascii="Calibri" w:hAnsi="Calibri"/>
                <w:b/>
                <w:vertAlign w:val="superscript"/>
              </w:rPr>
              <w:t>15</w:t>
            </w:r>
            <w:r w:rsidRPr="008D1806">
              <w:rPr>
                <w:rFonts w:ascii="Calibri" w:hAnsi="Calibri"/>
                <w:b/>
              </w:rPr>
              <w:t>N</w:t>
            </w:r>
            <w:r w:rsidRPr="008D1806">
              <w:rPr>
                <w:rFonts w:ascii="Calibri" w:eastAsia="Times New Roman" w:hAnsi="Calibri" w:cs="Times New Roman"/>
                <w:b/>
                <w:bCs/>
                <w:color w:val="000000"/>
              </w:rPr>
              <w:t xml:space="preserve"> (</w:t>
            </w:r>
            <w:r w:rsidRPr="008D1806">
              <w:rPr>
                <w:b/>
              </w:rPr>
              <w:t>‰, N</w:t>
            </w:r>
            <w:r w:rsidRPr="008D1806">
              <w:rPr>
                <w:b/>
                <w:vertAlign w:val="subscript"/>
              </w:rPr>
              <w:t>2</w:t>
            </w:r>
            <w:r w:rsidRPr="008D1806">
              <w:rPr>
                <w:b/>
              </w:rPr>
              <w:t xml:space="preserve"> AIR)</w:t>
            </w:r>
          </w:p>
        </w:tc>
        <w:tc>
          <w:tcPr>
            <w:tcW w:w="1244" w:type="dxa"/>
            <w:noWrap/>
            <w:hideMark/>
          </w:tcPr>
          <w:p w14:paraId="3C1E652C" w14:textId="77777777" w:rsidR="00027959" w:rsidRPr="008D1806" w:rsidRDefault="00027959" w:rsidP="009351B8">
            <w:pPr>
              <w:jc w:val="center"/>
              <w:rPr>
                <w:rFonts w:ascii="Calibri" w:eastAsia="Times New Roman" w:hAnsi="Calibri" w:cs="Times New Roman"/>
                <w:b/>
                <w:bCs/>
                <w:color w:val="000000"/>
              </w:rPr>
            </w:pPr>
            <w:r w:rsidRPr="008D1806">
              <w:rPr>
                <w:rFonts w:ascii="Calibri" w:eastAsia="Times New Roman" w:hAnsi="Calibri" w:cs="Times New Roman"/>
                <w:b/>
                <w:bCs/>
                <w:color w:val="000000"/>
              </w:rPr>
              <w:t>%C</w:t>
            </w:r>
          </w:p>
        </w:tc>
        <w:tc>
          <w:tcPr>
            <w:tcW w:w="1528" w:type="dxa"/>
            <w:noWrap/>
            <w:hideMark/>
          </w:tcPr>
          <w:p w14:paraId="751C200C" w14:textId="77777777" w:rsidR="00027959" w:rsidRPr="008D1806" w:rsidRDefault="00027959" w:rsidP="009351B8">
            <w:pPr>
              <w:jc w:val="center"/>
              <w:rPr>
                <w:rFonts w:ascii="Calibri" w:eastAsia="Times New Roman" w:hAnsi="Calibri" w:cs="Times New Roman"/>
                <w:b/>
                <w:bCs/>
                <w:color w:val="000000"/>
              </w:rPr>
            </w:pPr>
            <w:r w:rsidRPr="008D1806">
              <w:rPr>
                <w:rFonts w:ascii="Calibri" w:eastAsia="Times New Roman" w:hAnsi="Calibri" w:cs="Times New Roman"/>
                <w:b/>
                <w:bCs/>
                <w:color w:val="000000"/>
              </w:rPr>
              <w:t>%N</w:t>
            </w:r>
          </w:p>
        </w:tc>
        <w:tc>
          <w:tcPr>
            <w:tcW w:w="1528" w:type="dxa"/>
            <w:noWrap/>
            <w:hideMark/>
          </w:tcPr>
          <w:p w14:paraId="53066F1C" w14:textId="77777777" w:rsidR="00027959" w:rsidRPr="008D1806" w:rsidRDefault="00027959" w:rsidP="009351B8">
            <w:pPr>
              <w:jc w:val="center"/>
              <w:rPr>
                <w:rFonts w:ascii="Calibri" w:eastAsia="Times New Roman" w:hAnsi="Calibri" w:cs="Times New Roman"/>
                <w:b/>
                <w:bCs/>
                <w:color w:val="000000"/>
              </w:rPr>
            </w:pPr>
            <w:r w:rsidRPr="008D1806">
              <w:rPr>
                <w:rFonts w:ascii="Calibri" w:eastAsia="Times New Roman" w:hAnsi="Calibri" w:cs="Times New Roman"/>
                <w:b/>
                <w:bCs/>
                <w:color w:val="000000"/>
              </w:rPr>
              <w:t>C:N</w:t>
            </w:r>
          </w:p>
        </w:tc>
      </w:tr>
      <w:tr w:rsidR="00027959" w:rsidRPr="008D1806" w14:paraId="0A74E51B" w14:textId="77777777" w:rsidTr="009351B8">
        <w:trPr>
          <w:trHeight w:val="315"/>
        </w:trPr>
        <w:tc>
          <w:tcPr>
            <w:tcW w:w="1528" w:type="dxa"/>
            <w:noWrap/>
            <w:hideMark/>
          </w:tcPr>
          <w:p w14:paraId="38D30A17"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01</w:t>
            </w:r>
          </w:p>
        </w:tc>
        <w:tc>
          <w:tcPr>
            <w:tcW w:w="3570" w:type="dxa"/>
            <w:noWrap/>
            <w:hideMark/>
          </w:tcPr>
          <w:p w14:paraId="1336EB33"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9.1</w:t>
            </w:r>
          </w:p>
        </w:tc>
        <w:tc>
          <w:tcPr>
            <w:tcW w:w="2268" w:type="dxa"/>
            <w:noWrap/>
            <w:hideMark/>
          </w:tcPr>
          <w:p w14:paraId="3CE9CB02"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-19.2</w:t>
            </w:r>
          </w:p>
        </w:tc>
        <w:tc>
          <w:tcPr>
            <w:tcW w:w="1985" w:type="dxa"/>
            <w:noWrap/>
            <w:hideMark/>
          </w:tcPr>
          <w:p w14:paraId="701DF081"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11.8</w:t>
            </w:r>
          </w:p>
        </w:tc>
        <w:tc>
          <w:tcPr>
            <w:tcW w:w="1244" w:type="dxa"/>
            <w:noWrap/>
            <w:hideMark/>
          </w:tcPr>
          <w:p w14:paraId="47A06A77"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43.4</w:t>
            </w:r>
          </w:p>
        </w:tc>
        <w:tc>
          <w:tcPr>
            <w:tcW w:w="1528" w:type="dxa"/>
            <w:noWrap/>
            <w:hideMark/>
          </w:tcPr>
          <w:p w14:paraId="70213CC1"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15.6</w:t>
            </w:r>
          </w:p>
        </w:tc>
        <w:tc>
          <w:tcPr>
            <w:tcW w:w="1528" w:type="dxa"/>
            <w:noWrap/>
            <w:hideMark/>
          </w:tcPr>
          <w:p w14:paraId="4624BD09"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4D155D8E" w14:textId="77777777" w:rsidTr="009351B8">
        <w:trPr>
          <w:trHeight w:val="315"/>
        </w:trPr>
        <w:tc>
          <w:tcPr>
            <w:tcW w:w="1528" w:type="dxa"/>
            <w:noWrap/>
            <w:hideMark/>
          </w:tcPr>
          <w:p w14:paraId="4185E053"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02</w:t>
            </w:r>
          </w:p>
        </w:tc>
        <w:tc>
          <w:tcPr>
            <w:tcW w:w="3570" w:type="dxa"/>
            <w:noWrap/>
            <w:hideMark/>
          </w:tcPr>
          <w:p w14:paraId="47FBADB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10.2</w:t>
            </w:r>
          </w:p>
        </w:tc>
        <w:tc>
          <w:tcPr>
            <w:tcW w:w="2268" w:type="dxa"/>
            <w:noWrap/>
            <w:hideMark/>
          </w:tcPr>
          <w:p w14:paraId="1D45007B"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-19.3</w:t>
            </w:r>
          </w:p>
        </w:tc>
        <w:tc>
          <w:tcPr>
            <w:tcW w:w="1985" w:type="dxa"/>
            <w:noWrap/>
            <w:hideMark/>
          </w:tcPr>
          <w:p w14:paraId="7B3039D5"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11.0</w:t>
            </w:r>
          </w:p>
        </w:tc>
        <w:tc>
          <w:tcPr>
            <w:tcW w:w="1244" w:type="dxa"/>
            <w:noWrap/>
            <w:hideMark/>
          </w:tcPr>
          <w:p w14:paraId="0427A7B4"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43.6</w:t>
            </w:r>
          </w:p>
        </w:tc>
        <w:tc>
          <w:tcPr>
            <w:tcW w:w="1528" w:type="dxa"/>
            <w:noWrap/>
            <w:hideMark/>
          </w:tcPr>
          <w:p w14:paraId="005959AB"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15.6</w:t>
            </w:r>
          </w:p>
        </w:tc>
        <w:tc>
          <w:tcPr>
            <w:tcW w:w="1528" w:type="dxa"/>
            <w:noWrap/>
            <w:hideMark/>
          </w:tcPr>
          <w:p w14:paraId="7ED1AE37"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7121C532" w14:textId="77777777" w:rsidTr="009351B8">
        <w:trPr>
          <w:trHeight w:val="315"/>
        </w:trPr>
        <w:tc>
          <w:tcPr>
            <w:tcW w:w="1528" w:type="dxa"/>
            <w:noWrap/>
            <w:hideMark/>
          </w:tcPr>
          <w:p w14:paraId="47B2F643"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03</w:t>
            </w:r>
          </w:p>
        </w:tc>
        <w:tc>
          <w:tcPr>
            <w:tcW w:w="3570" w:type="dxa"/>
            <w:noWrap/>
            <w:hideMark/>
          </w:tcPr>
          <w:p w14:paraId="379E54D6"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11.3</w:t>
            </w:r>
          </w:p>
        </w:tc>
        <w:tc>
          <w:tcPr>
            <w:tcW w:w="2268" w:type="dxa"/>
            <w:noWrap/>
            <w:hideMark/>
          </w:tcPr>
          <w:p w14:paraId="5029702E"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-19.4</w:t>
            </w:r>
          </w:p>
        </w:tc>
        <w:tc>
          <w:tcPr>
            <w:tcW w:w="1985" w:type="dxa"/>
            <w:noWrap/>
            <w:hideMark/>
          </w:tcPr>
          <w:p w14:paraId="60C177C4"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11.3</w:t>
            </w:r>
          </w:p>
        </w:tc>
        <w:tc>
          <w:tcPr>
            <w:tcW w:w="1244" w:type="dxa"/>
            <w:noWrap/>
            <w:hideMark/>
          </w:tcPr>
          <w:p w14:paraId="791C78FC"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44.5</w:t>
            </w:r>
          </w:p>
        </w:tc>
        <w:tc>
          <w:tcPr>
            <w:tcW w:w="1528" w:type="dxa"/>
            <w:noWrap/>
            <w:hideMark/>
          </w:tcPr>
          <w:p w14:paraId="545A5322"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15.9</w:t>
            </w:r>
          </w:p>
        </w:tc>
        <w:tc>
          <w:tcPr>
            <w:tcW w:w="1528" w:type="dxa"/>
            <w:noWrap/>
            <w:hideMark/>
          </w:tcPr>
          <w:p w14:paraId="2834154C"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3.3</w:t>
            </w:r>
          </w:p>
        </w:tc>
      </w:tr>
      <w:tr w:rsidR="00027959" w:rsidRPr="008D1806" w14:paraId="53CDF109" w14:textId="77777777" w:rsidTr="009351B8">
        <w:trPr>
          <w:trHeight w:val="315"/>
        </w:trPr>
        <w:tc>
          <w:tcPr>
            <w:tcW w:w="1528" w:type="dxa"/>
            <w:noWrap/>
            <w:hideMark/>
          </w:tcPr>
          <w:p w14:paraId="3796FF08"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04</w:t>
            </w:r>
          </w:p>
        </w:tc>
        <w:tc>
          <w:tcPr>
            <w:tcW w:w="3570" w:type="dxa"/>
            <w:noWrap/>
            <w:hideMark/>
          </w:tcPr>
          <w:p w14:paraId="36C2B717"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12.4</w:t>
            </w:r>
          </w:p>
        </w:tc>
        <w:tc>
          <w:tcPr>
            <w:tcW w:w="2268" w:type="dxa"/>
            <w:noWrap/>
            <w:hideMark/>
          </w:tcPr>
          <w:p w14:paraId="66F6B762"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-18.7</w:t>
            </w:r>
          </w:p>
        </w:tc>
        <w:tc>
          <w:tcPr>
            <w:tcW w:w="1985" w:type="dxa"/>
            <w:noWrap/>
            <w:hideMark/>
          </w:tcPr>
          <w:p w14:paraId="21E61620"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11.7</w:t>
            </w:r>
          </w:p>
        </w:tc>
        <w:tc>
          <w:tcPr>
            <w:tcW w:w="1244" w:type="dxa"/>
            <w:noWrap/>
            <w:hideMark/>
          </w:tcPr>
          <w:p w14:paraId="12EB9634"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43.7</w:t>
            </w:r>
          </w:p>
        </w:tc>
        <w:tc>
          <w:tcPr>
            <w:tcW w:w="1528" w:type="dxa"/>
            <w:noWrap/>
            <w:hideMark/>
          </w:tcPr>
          <w:p w14:paraId="72EE14CA"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15.5</w:t>
            </w:r>
          </w:p>
        </w:tc>
        <w:tc>
          <w:tcPr>
            <w:tcW w:w="1528" w:type="dxa"/>
            <w:noWrap/>
            <w:hideMark/>
          </w:tcPr>
          <w:p w14:paraId="32A089A9"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3.3</w:t>
            </w:r>
          </w:p>
        </w:tc>
      </w:tr>
      <w:tr w:rsidR="00027959" w:rsidRPr="008D1806" w14:paraId="5C005F64" w14:textId="77777777" w:rsidTr="009351B8">
        <w:trPr>
          <w:trHeight w:val="315"/>
        </w:trPr>
        <w:tc>
          <w:tcPr>
            <w:tcW w:w="1528" w:type="dxa"/>
            <w:noWrap/>
            <w:hideMark/>
          </w:tcPr>
          <w:p w14:paraId="1EA4BB8A"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05</w:t>
            </w:r>
          </w:p>
        </w:tc>
        <w:tc>
          <w:tcPr>
            <w:tcW w:w="3570" w:type="dxa"/>
            <w:noWrap/>
            <w:hideMark/>
          </w:tcPr>
          <w:p w14:paraId="30BB6BBC"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13.5</w:t>
            </w:r>
          </w:p>
        </w:tc>
        <w:tc>
          <w:tcPr>
            <w:tcW w:w="2268" w:type="dxa"/>
            <w:noWrap/>
            <w:hideMark/>
          </w:tcPr>
          <w:p w14:paraId="2120D388"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-18.8</w:t>
            </w:r>
          </w:p>
        </w:tc>
        <w:tc>
          <w:tcPr>
            <w:tcW w:w="1985" w:type="dxa"/>
            <w:noWrap/>
            <w:hideMark/>
          </w:tcPr>
          <w:p w14:paraId="035FBFC8"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11.4</w:t>
            </w:r>
          </w:p>
        </w:tc>
        <w:tc>
          <w:tcPr>
            <w:tcW w:w="1244" w:type="dxa"/>
            <w:noWrap/>
            <w:hideMark/>
          </w:tcPr>
          <w:p w14:paraId="0B4D180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43.0</w:t>
            </w:r>
          </w:p>
        </w:tc>
        <w:tc>
          <w:tcPr>
            <w:tcW w:w="1528" w:type="dxa"/>
            <w:noWrap/>
            <w:hideMark/>
          </w:tcPr>
          <w:p w14:paraId="27A06DA3"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15.2</w:t>
            </w:r>
          </w:p>
        </w:tc>
        <w:tc>
          <w:tcPr>
            <w:tcW w:w="1528" w:type="dxa"/>
            <w:noWrap/>
            <w:hideMark/>
          </w:tcPr>
          <w:p w14:paraId="509AC18F"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3.3</w:t>
            </w:r>
          </w:p>
        </w:tc>
      </w:tr>
      <w:tr w:rsidR="00027959" w:rsidRPr="008D1806" w14:paraId="21FAC9CE" w14:textId="77777777" w:rsidTr="009351B8">
        <w:trPr>
          <w:trHeight w:val="315"/>
        </w:trPr>
        <w:tc>
          <w:tcPr>
            <w:tcW w:w="1528" w:type="dxa"/>
            <w:noWrap/>
            <w:hideMark/>
          </w:tcPr>
          <w:p w14:paraId="1558745E"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06</w:t>
            </w:r>
          </w:p>
        </w:tc>
        <w:tc>
          <w:tcPr>
            <w:tcW w:w="3570" w:type="dxa"/>
            <w:noWrap/>
            <w:hideMark/>
          </w:tcPr>
          <w:p w14:paraId="7D750958"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14.6</w:t>
            </w:r>
          </w:p>
        </w:tc>
        <w:tc>
          <w:tcPr>
            <w:tcW w:w="2268" w:type="dxa"/>
            <w:noWrap/>
            <w:hideMark/>
          </w:tcPr>
          <w:p w14:paraId="0DF474F3"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-19.2</w:t>
            </w:r>
          </w:p>
        </w:tc>
        <w:tc>
          <w:tcPr>
            <w:tcW w:w="1985" w:type="dxa"/>
            <w:noWrap/>
            <w:hideMark/>
          </w:tcPr>
          <w:p w14:paraId="76374B0B"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11.4</w:t>
            </w:r>
          </w:p>
        </w:tc>
        <w:tc>
          <w:tcPr>
            <w:tcW w:w="1244" w:type="dxa"/>
            <w:noWrap/>
            <w:hideMark/>
          </w:tcPr>
          <w:p w14:paraId="4246CAC0"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43.3</w:t>
            </w:r>
          </w:p>
        </w:tc>
        <w:tc>
          <w:tcPr>
            <w:tcW w:w="1528" w:type="dxa"/>
            <w:noWrap/>
            <w:hideMark/>
          </w:tcPr>
          <w:p w14:paraId="30DCF501"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15.6</w:t>
            </w:r>
          </w:p>
        </w:tc>
        <w:tc>
          <w:tcPr>
            <w:tcW w:w="1528" w:type="dxa"/>
            <w:noWrap/>
            <w:hideMark/>
          </w:tcPr>
          <w:p w14:paraId="27AFE542"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58C0DDE3" w14:textId="77777777" w:rsidTr="009351B8">
        <w:trPr>
          <w:trHeight w:val="315"/>
        </w:trPr>
        <w:tc>
          <w:tcPr>
            <w:tcW w:w="1528" w:type="dxa"/>
            <w:noWrap/>
            <w:hideMark/>
          </w:tcPr>
          <w:p w14:paraId="2D1C997C"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07</w:t>
            </w:r>
          </w:p>
        </w:tc>
        <w:tc>
          <w:tcPr>
            <w:tcW w:w="3570" w:type="dxa"/>
            <w:noWrap/>
            <w:hideMark/>
          </w:tcPr>
          <w:p w14:paraId="3D3905FC"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15.8</w:t>
            </w:r>
          </w:p>
        </w:tc>
        <w:tc>
          <w:tcPr>
            <w:tcW w:w="2268" w:type="dxa"/>
            <w:noWrap/>
            <w:hideMark/>
          </w:tcPr>
          <w:p w14:paraId="4FA76984"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-19.0</w:t>
            </w:r>
          </w:p>
        </w:tc>
        <w:tc>
          <w:tcPr>
            <w:tcW w:w="1985" w:type="dxa"/>
            <w:noWrap/>
            <w:hideMark/>
          </w:tcPr>
          <w:p w14:paraId="6487C60A"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11.6</w:t>
            </w:r>
          </w:p>
        </w:tc>
        <w:tc>
          <w:tcPr>
            <w:tcW w:w="1244" w:type="dxa"/>
            <w:noWrap/>
            <w:hideMark/>
          </w:tcPr>
          <w:p w14:paraId="47C56CB6"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43.7</w:t>
            </w:r>
          </w:p>
        </w:tc>
        <w:tc>
          <w:tcPr>
            <w:tcW w:w="1528" w:type="dxa"/>
            <w:noWrap/>
            <w:hideMark/>
          </w:tcPr>
          <w:p w14:paraId="7BE85E5A"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15.5</w:t>
            </w:r>
          </w:p>
        </w:tc>
        <w:tc>
          <w:tcPr>
            <w:tcW w:w="1528" w:type="dxa"/>
            <w:noWrap/>
            <w:hideMark/>
          </w:tcPr>
          <w:p w14:paraId="1C78938A"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3.3</w:t>
            </w:r>
          </w:p>
        </w:tc>
      </w:tr>
      <w:tr w:rsidR="00027959" w:rsidRPr="008D1806" w14:paraId="5DB03852" w14:textId="77777777" w:rsidTr="009351B8">
        <w:trPr>
          <w:trHeight w:val="315"/>
        </w:trPr>
        <w:tc>
          <w:tcPr>
            <w:tcW w:w="1528" w:type="dxa"/>
            <w:noWrap/>
            <w:hideMark/>
          </w:tcPr>
          <w:p w14:paraId="7A0D359D"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08</w:t>
            </w:r>
          </w:p>
        </w:tc>
        <w:tc>
          <w:tcPr>
            <w:tcW w:w="3570" w:type="dxa"/>
            <w:noWrap/>
            <w:hideMark/>
          </w:tcPr>
          <w:p w14:paraId="67CEB44E"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16.8</w:t>
            </w:r>
          </w:p>
        </w:tc>
        <w:tc>
          <w:tcPr>
            <w:tcW w:w="2268" w:type="dxa"/>
            <w:noWrap/>
            <w:hideMark/>
          </w:tcPr>
          <w:p w14:paraId="7FE8004E"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-18.8</w:t>
            </w:r>
          </w:p>
        </w:tc>
        <w:tc>
          <w:tcPr>
            <w:tcW w:w="1985" w:type="dxa"/>
            <w:noWrap/>
            <w:hideMark/>
          </w:tcPr>
          <w:p w14:paraId="0260A6BA"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11.6</w:t>
            </w:r>
          </w:p>
        </w:tc>
        <w:tc>
          <w:tcPr>
            <w:tcW w:w="1244" w:type="dxa"/>
            <w:noWrap/>
            <w:hideMark/>
          </w:tcPr>
          <w:p w14:paraId="50E8E0BF"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42.5</w:t>
            </w:r>
          </w:p>
        </w:tc>
        <w:tc>
          <w:tcPr>
            <w:tcW w:w="1528" w:type="dxa"/>
            <w:noWrap/>
            <w:hideMark/>
          </w:tcPr>
          <w:p w14:paraId="1102DB8E"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15.2</w:t>
            </w:r>
          </w:p>
        </w:tc>
        <w:tc>
          <w:tcPr>
            <w:tcW w:w="1528" w:type="dxa"/>
            <w:noWrap/>
            <w:hideMark/>
          </w:tcPr>
          <w:p w14:paraId="35AD8AB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3.3</w:t>
            </w:r>
          </w:p>
        </w:tc>
      </w:tr>
      <w:tr w:rsidR="00027959" w:rsidRPr="008D1806" w14:paraId="17CB428D" w14:textId="77777777" w:rsidTr="009351B8">
        <w:trPr>
          <w:trHeight w:val="315"/>
        </w:trPr>
        <w:tc>
          <w:tcPr>
            <w:tcW w:w="1528" w:type="dxa"/>
            <w:noWrap/>
            <w:hideMark/>
          </w:tcPr>
          <w:p w14:paraId="4C6D7C74"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09</w:t>
            </w:r>
          </w:p>
        </w:tc>
        <w:tc>
          <w:tcPr>
            <w:tcW w:w="3570" w:type="dxa"/>
            <w:noWrap/>
            <w:hideMark/>
          </w:tcPr>
          <w:p w14:paraId="1F4C3FB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17.9</w:t>
            </w:r>
          </w:p>
        </w:tc>
        <w:tc>
          <w:tcPr>
            <w:tcW w:w="2268" w:type="dxa"/>
            <w:noWrap/>
            <w:hideMark/>
          </w:tcPr>
          <w:p w14:paraId="4B360815"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-19.3</w:t>
            </w:r>
          </w:p>
        </w:tc>
        <w:tc>
          <w:tcPr>
            <w:tcW w:w="1985" w:type="dxa"/>
            <w:noWrap/>
            <w:hideMark/>
          </w:tcPr>
          <w:p w14:paraId="72E0DFF9"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11.7</w:t>
            </w:r>
          </w:p>
        </w:tc>
        <w:tc>
          <w:tcPr>
            <w:tcW w:w="1244" w:type="dxa"/>
            <w:noWrap/>
            <w:hideMark/>
          </w:tcPr>
          <w:p w14:paraId="37FD4533"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41.9</w:t>
            </w:r>
          </w:p>
        </w:tc>
        <w:tc>
          <w:tcPr>
            <w:tcW w:w="1528" w:type="dxa"/>
            <w:noWrap/>
            <w:hideMark/>
          </w:tcPr>
          <w:p w14:paraId="0A54852E"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15.2</w:t>
            </w:r>
          </w:p>
        </w:tc>
        <w:tc>
          <w:tcPr>
            <w:tcW w:w="1528" w:type="dxa"/>
            <w:noWrap/>
            <w:hideMark/>
          </w:tcPr>
          <w:p w14:paraId="6785EC68"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2AF823D6" w14:textId="77777777" w:rsidTr="009351B8">
        <w:trPr>
          <w:trHeight w:val="315"/>
        </w:trPr>
        <w:tc>
          <w:tcPr>
            <w:tcW w:w="1528" w:type="dxa"/>
            <w:noWrap/>
            <w:hideMark/>
          </w:tcPr>
          <w:p w14:paraId="6BC4DCDC"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10</w:t>
            </w:r>
          </w:p>
        </w:tc>
        <w:tc>
          <w:tcPr>
            <w:tcW w:w="3570" w:type="dxa"/>
            <w:noWrap/>
            <w:hideMark/>
          </w:tcPr>
          <w:p w14:paraId="7A59C241"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19.0</w:t>
            </w:r>
          </w:p>
        </w:tc>
        <w:tc>
          <w:tcPr>
            <w:tcW w:w="2268" w:type="dxa"/>
            <w:noWrap/>
            <w:hideMark/>
          </w:tcPr>
          <w:p w14:paraId="607E2BD3"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-19.3</w:t>
            </w:r>
          </w:p>
        </w:tc>
        <w:tc>
          <w:tcPr>
            <w:tcW w:w="1985" w:type="dxa"/>
            <w:noWrap/>
            <w:hideMark/>
          </w:tcPr>
          <w:p w14:paraId="6364335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11.9</w:t>
            </w:r>
          </w:p>
        </w:tc>
        <w:tc>
          <w:tcPr>
            <w:tcW w:w="1244" w:type="dxa"/>
            <w:noWrap/>
            <w:hideMark/>
          </w:tcPr>
          <w:p w14:paraId="16135E57"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42.7</w:t>
            </w:r>
          </w:p>
        </w:tc>
        <w:tc>
          <w:tcPr>
            <w:tcW w:w="1528" w:type="dxa"/>
            <w:noWrap/>
            <w:hideMark/>
          </w:tcPr>
          <w:p w14:paraId="0016E422"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15.4</w:t>
            </w:r>
          </w:p>
        </w:tc>
        <w:tc>
          <w:tcPr>
            <w:tcW w:w="1528" w:type="dxa"/>
            <w:noWrap/>
            <w:hideMark/>
          </w:tcPr>
          <w:p w14:paraId="093AAC7E"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4CFDE6BB" w14:textId="77777777" w:rsidTr="009351B8">
        <w:trPr>
          <w:trHeight w:val="315"/>
        </w:trPr>
        <w:tc>
          <w:tcPr>
            <w:tcW w:w="1528" w:type="dxa"/>
            <w:noWrap/>
            <w:hideMark/>
          </w:tcPr>
          <w:p w14:paraId="0C838382"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11</w:t>
            </w:r>
          </w:p>
        </w:tc>
        <w:tc>
          <w:tcPr>
            <w:tcW w:w="3570" w:type="dxa"/>
            <w:noWrap/>
            <w:hideMark/>
          </w:tcPr>
          <w:p w14:paraId="2C58CD6C"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20.1</w:t>
            </w:r>
          </w:p>
        </w:tc>
        <w:tc>
          <w:tcPr>
            <w:tcW w:w="2268" w:type="dxa"/>
            <w:noWrap/>
            <w:hideMark/>
          </w:tcPr>
          <w:p w14:paraId="65CD6EB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-19.2</w:t>
            </w:r>
          </w:p>
        </w:tc>
        <w:tc>
          <w:tcPr>
            <w:tcW w:w="1985" w:type="dxa"/>
            <w:noWrap/>
            <w:hideMark/>
          </w:tcPr>
          <w:p w14:paraId="151E45F1"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12.0</w:t>
            </w:r>
          </w:p>
        </w:tc>
        <w:tc>
          <w:tcPr>
            <w:tcW w:w="1244" w:type="dxa"/>
            <w:noWrap/>
            <w:hideMark/>
          </w:tcPr>
          <w:p w14:paraId="456DFD00"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42.7</w:t>
            </w:r>
          </w:p>
        </w:tc>
        <w:tc>
          <w:tcPr>
            <w:tcW w:w="1528" w:type="dxa"/>
            <w:noWrap/>
            <w:hideMark/>
          </w:tcPr>
          <w:p w14:paraId="278FC9A9"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15.3</w:t>
            </w:r>
          </w:p>
        </w:tc>
        <w:tc>
          <w:tcPr>
            <w:tcW w:w="1528" w:type="dxa"/>
            <w:noWrap/>
            <w:hideMark/>
          </w:tcPr>
          <w:p w14:paraId="52381802"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5C7AAD52" w14:textId="77777777" w:rsidTr="009351B8">
        <w:trPr>
          <w:trHeight w:val="315"/>
        </w:trPr>
        <w:tc>
          <w:tcPr>
            <w:tcW w:w="1528" w:type="dxa"/>
            <w:noWrap/>
            <w:hideMark/>
          </w:tcPr>
          <w:p w14:paraId="43898440"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12</w:t>
            </w:r>
          </w:p>
        </w:tc>
        <w:tc>
          <w:tcPr>
            <w:tcW w:w="3570" w:type="dxa"/>
            <w:noWrap/>
            <w:hideMark/>
          </w:tcPr>
          <w:p w14:paraId="0DA36FCF"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21.3</w:t>
            </w:r>
          </w:p>
        </w:tc>
        <w:tc>
          <w:tcPr>
            <w:tcW w:w="2268" w:type="dxa"/>
            <w:noWrap/>
            <w:hideMark/>
          </w:tcPr>
          <w:p w14:paraId="52050288"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-18.9</w:t>
            </w:r>
          </w:p>
        </w:tc>
        <w:tc>
          <w:tcPr>
            <w:tcW w:w="1985" w:type="dxa"/>
            <w:noWrap/>
            <w:hideMark/>
          </w:tcPr>
          <w:p w14:paraId="253F0D4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12.2</w:t>
            </w:r>
          </w:p>
        </w:tc>
        <w:tc>
          <w:tcPr>
            <w:tcW w:w="1244" w:type="dxa"/>
            <w:noWrap/>
            <w:hideMark/>
          </w:tcPr>
          <w:p w14:paraId="7EEDFA0B"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42.5</w:t>
            </w:r>
          </w:p>
        </w:tc>
        <w:tc>
          <w:tcPr>
            <w:tcW w:w="1528" w:type="dxa"/>
            <w:noWrap/>
            <w:hideMark/>
          </w:tcPr>
          <w:p w14:paraId="0A9E653F"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15.3</w:t>
            </w:r>
          </w:p>
        </w:tc>
        <w:tc>
          <w:tcPr>
            <w:tcW w:w="1528" w:type="dxa"/>
            <w:noWrap/>
            <w:hideMark/>
          </w:tcPr>
          <w:p w14:paraId="799ECF11"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1F73A095" w14:textId="77777777" w:rsidTr="009351B8">
        <w:trPr>
          <w:trHeight w:val="315"/>
        </w:trPr>
        <w:tc>
          <w:tcPr>
            <w:tcW w:w="1528" w:type="dxa"/>
            <w:noWrap/>
            <w:hideMark/>
          </w:tcPr>
          <w:p w14:paraId="6957FD3A"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M3 13</w:t>
            </w:r>
          </w:p>
        </w:tc>
        <w:tc>
          <w:tcPr>
            <w:tcW w:w="3570" w:type="dxa"/>
            <w:noWrap/>
            <w:hideMark/>
          </w:tcPr>
          <w:p w14:paraId="6F9A7D1F"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22.4</w:t>
            </w:r>
          </w:p>
        </w:tc>
        <w:tc>
          <w:tcPr>
            <w:tcW w:w="2268" w:type="dxa"/>
            <w:noWrap/>
            <w:hideMark/>
          </w:tcPr>
          <w:p w14:paraId="14BF136A"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-19.0</w:t>
            </w:r>
          </w:p>
        </w:tc>
        <w:tc>
          <w:tcPr>
            <w:tcW w:w="1985" w:type="dxa"/>
            <w:noWrap/>
            <w:hideMark/>
          </w:tcPr>
          <w:p w14:paraId="01587472"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12.1</w:t>
            </w:r>
          </w:p>
        </w:tc>
        <w:tc>
          <w:tcPr>
            <w:tcW w:w="1244" w:type="dxa"/>
            <w:noWrap/>
            <w:hideMark/>
          </w:tcPr>
          <w:p w14:paraId="3977EFF6"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43.0</w:t>
            </w:r>
          </w:p>
        </w:tc>
        <w:tc>
          <w:tcPr>
            <w:tcW w:w="1528" w:type="dxa"/>
            <w:noWrap/>
            <w:hideMark/>
          </w:tcPr>
          <w:p w14:paraId="493D9333"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15.5</w:t>
            </w:r>
          </w:p>
        </w:tc>
        <w:tc>
          <w:tcPr>
            <w:tcW w:w="1528" w:type="dxa"/>
            <w:noWrap/>
            <w:hideMark/>
          </w:tcPr>
          <w:p w14:paraId="5A44E0DF"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r w:rsidR="00027959" w:rsidRPr="008D1806" w14:paraId="11F8370E" w14:textId="77777777" w:rsidTr="009351B8">
        <w:trPr>
          <w:trHeight w:val="315"/>
        </w:trPr>
        <w:tc>
          <w:tcPr>
            <w:tcW w:w="1528" w:type="dxa"/>
            <w:noWrap/>
            <w:hideMark/>
          </w:tcPr>
          <w:p w14:paraId="31E4383D" w14:textId="77777777" w:rsidR="00027959" w:rsidRPr="008D1806" w:rsidRDefault="00027959" w:rsidP="009351B8">
            <w:pPr>
              <w:rPr>
                <w:rFonts w:ascii="Calibri" w:eastAsia="Times New Roman" w:hAnsi="Calibri" w:cs="Times New Roman"/>
                <w:color w:val="000000"/>
              </w:rPr>
            </w:pPr>
            <w:r w:rsidRPr="008D1806">
              <w:rPr>
                <w:rFonts w:ascii="Calibri" w:eastAsia="Times New Roman" w:hAnsi="Calibri" w:cs="Times New Roman"/>
                <w:color w:val="000000"/>
              </w:rPr>
              <w:t>E224 Rib</w:t>
            </w:r>
          </w:p>
        </w:tc>
        <w:tc>
          <w:tcPr>
            <w:tcW w:w="3570" w:type="dxa"/>
            <w:noWrap/>
            <w:hideMark/>
          </w:tcPr>
          <w:p w14:paraId="1B4E5A46" w14:textId="77777777" w:rsidR="00027959" w:rsidRPr="008D1806" w:rsidRDefault="00027959" w:rsidP="009351B8">
            <w:pPr>
              <w:jc w:val="right"/>
              <w:rPr>
                <w:rFonts w:ascii="Calibri" w:eastAsia="Times New Roman" w:hAnsi="Calibri" w:cs="Times New Roman"/>
                <w:color w:val="000000"/>
              </w:rPr>
            </w:pPr>
            <w:r>
              <w:rPr>
                <w:rFonts w:ascii="Calibri" w:eastAsia="Times New Roman" w:hAnsi="Calibri" w:cs="Times New Roman"/>
                <w:color w:val="000000"/>
              </w:rPr>
              <w:t>10 years before death (adulthood)</w:t>
            </w:r>
          </w:p>
        </w:tc>
        <w:tc>
          <w:tcPr>
            <w:tcW w:w="2268" w:type="dxa"/>
            <w:noWrap/>
            <w:hideMark/>
          </w:tcPr>
          <w:p w14:paraId="27E9E84D"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-18.2</w:t>
            </w:r>
          </w:p>
        </w:tc>
        <w:tc>
          <w:tcPr>
            <w:tcW w:w="1985" w:type="dxa"/>
            <w:noWrap/>
            <w:hideMark/>
          </w:tcPr>
          <w:p w14:paraId="5381A6A4"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10.7</w:t>
            </w:r>
          </w:p>
        </w:tc>
        <w:tc>
          <w:tcPr>
            <w:tcW w:w="1244" w:type="dxa"/>
            <w:noWrap/>
            <w:hideMark/>
          </w:tcPr>
          <w:p w14:paraId="2FE2C529"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41.6</w:t>
            </w:r>
          </w:p>
        </w:tc>
        <w:tc>
          <w:tcPr>
            <w:tcW w:w="1528" w:type="dxa"/>
            <w:noWrap/>
            <w:hideMark/>
          </w:tcPr>
          <w:p w14:paraId="29B278BB"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15.2</w:t>
            </w:r>
          </w:p>
        </w:tc>
        <w:tc>
          <w:tcPr>
            <w:tcW w:w="1528" w:type="dxa"/>
            <w:noWrap/>
            <w:hideMark/>
          </w:tcPr>
          <w:p w14:paraId="3ECE78AC" w14:textId="77777777" w:rsidR="00027959" w:rsidRPr="008D1806" w:rsidRDefault="00027959" w:rsidP="009351B8">
            <w:pPr>
              <w:jc w:val="right"/>
              <w:rPr>
                <w:rFonts w:ascii="Calibri" w:eastAsia="Times New Roman" w:hAnsi="Calibri" w:cs="Times New Roman"/>
                <w:color w:val="000000"/>
              </w:rPr>
            </w:pPr>
            <w:r w:rsidRPr="008D1806">
              <w:rPr>
                <w:rFonts w:ascii="Calibri" w:eastAsia="Times New Roman" w:hAnsi="Calibri" w:cs="Times New Roman"/>
                <w:color w:val="000000"/>
              </w:rPr>
              <w:t>3.2</w:t>
            </w:r>
          </w:p>
        </w:tc>
      </w:tr>
    </w:tbl>
    <w:p w14:paraId="7A64BC05" w14:textId="77777777" w:rsidR="00027959" w:rsidRDefault="00027959" w:rsidP="00027959"/>
    <w:p w14:paraId="058E04E8" w14:textId="77777777" w:rsidR="00027959" w:rsidRPr="00C271B2" w:rsidRDefault="00027959" w:rsidP="00027959">
      <w:pPr>
        <w:widowControl w:val="0"/>
        <w:autoSpaceDE w:val="0"/>
        <w:autoSpaceDN w:val="0"/>
        <w:adjustRightInd w:val="0"/>
        <w:jc w:val="center"/>
        <w:rPr>
          <w:rFonts w:ascii="Calibri" w:eastAsia="Times New Roman" w:hAnsi="Calibri" w:cs="Arial"/>
          <w:color w:val="000000" w:themeColor="text1"/>
          <w:szCs w:val="27"/>
        </w:rPr>
      </w:pPr>
      <w:r w:rsidRPr="00C271B2">
        <w:rPr>
          <w:rFonts w:ascii="Calibri" w:hAnsi="Calibri"/>
          <w:b/>
        </w:rPr>
        <w:t xml:space="preserve">Supplementary Table </w:t>
      </w:r>
      <w:r>
        <w:rPr>
          <w:rFonts w:ascii="Calibri" w:hAnsi="Calibri"/>
          <w:b/>
        </w:rPr>
        <w:t>1</w:t>
      </w:r>
      <w:r w:rsidRPr="00C271B2">
        <w:rPr>
          <w:rFonts w:ascii="Calibri" w:hAnsi="Calibri"/>
          <w:b/>
        </w:rPr>
        <w:t xml:space="preserve">: </w:t>
      </w:r>
      <w:r w:rsidRPr="00C271B2">
        <w:rPr>
          <w:rFonts w:ascii="Calibri" w:hAnsi="Calibri"/>
        </w:rPr>
        <w:t>Results of dietary isotope analysis in this study. All values are means of results from duplicate analyses. In this sample the technical error of measurement (TEM, calculated from repeat samples) is &lt;0.1‰ on both δ</w:t>
      </w:r>
      <w:r w:rsidRPr="00C271B2">
        <w:rPr>
          <w:rFonts w:ascii="Calibri" w:hAnsi="Calibri"/>
          <w:vertAlign w:val="superscript"/>
        </w:rPr>
        <w:t>13</w:t>
      </w:r>
      <w:r w:rsidRPr="00C271B2">
        <w:rPr>
          <w:rFonts w:ascii="Calibri" w:hAnsi="Calibri"/>
        </w:rPr>
        <w:t>C and δ</w:t>
      </w:r>
      <w:r w:rsidRPr="00C271B2">
        <w:rPr>
          <w:rFonts w:ascii="Calibri" w:hAnsi="Calibri"/>
          <w:vertAlign w:val="superscript"/>
        </w:rPr>
        <w:t>15</w:t>
      </w:r>
      <w:r w:rsidRPr="00C271B2">
        <w:rPr>
          <w:rFonts w:ascii="Calibri" w:hAnsi="Calibri"/>
        </w:rPr>
        <w:t xml:space="preserve">N. All results fall within acceptable ranges of </w:t>
      </w:r>
      <w:r w:rsidRPr="00C271B2">
        <w:rPr>
          <w:rFonts w:ascii="Calibri" w:eastAsia="Times New Roman" w:hAnsi="Calibri" w:cs="Arial"/>
          <w:color w:val="000000" w:themeColor="text1"/>
          <w:szCs w:val="27"/>
        </w:rPr>
        <w:t xml:space="preserve">C:N (2.9 - 3.6), %C (35 – 50%), and %N (11- 16%) as established by </w:t>
      </w:r>
      <w:r w:rsidRPr="00C271B2">
        <w:rPr>
          <w:rFonts w:ascii="Calibri" w:eastAsia="Times New Roman" w:hAnsi="Calibri" w:cs="Arial"/>
          <w:color w:val="000000" w:themeColor="text1"/>
          <w:szCs w:val="27"/>
        </w:rPr>
        <w:fldChar w:fldCharType="begin"/>
      </w:r>
      <w:r w:rsidRPr="00C271B2">
        <w:rPr>
          <w:rFonts w:ascii="Calibri" w:eastAsia="Times New Roman" w:hAnsi="Calibri" w:cs="Arial"/>
          <w:color w:val="000000" w:themeColor="text1"/>
          <w:szCs w:val="27"/>
        </w:rPr>
        <w:instrText xml:space="preserve"> ADDIN EN.CITE &lt;EndNote&gt;&lt;Cite&gt;&lt;Author&gt;DeNiro&lt;/Author&gt;&lt;Year&gt;1985&lt;/Year&gt;&lt;RecNum&gt;10&lt;/RecNum&gt;&lt;DisplayText&gt;(DeNiro &amp;amp; Hastorf, 1985)&lt;/DisplayText&gt;&lt;record&gt;&lt;rec-number&gt;10&lt;/rec-number&gt;&lt;foreign-keys&gt;&lt;key app="EN" db-id="9zvvf9x5qsfxvhe0df5x2zp50epv9t0f0vt0" timestamp="1405375512"&gt;10&lt;/key&gt;&lt;/foreign-keys&gt;&lt;ref-type name="Journal Article"&gt;17&lt;/ref-type&gt;&lt;contributors&gt;&lt;authors&gt;&lt;author&gt;DeNiro, Michael J&lt;/author&gt;&lt;author&gt;Hastorf, Christine A&lt;/author&gt;&lt;/authors&gt;&lt;/contributors&gt;&lt;titles&gt;&lt;title&gt;Alteration of 15N/14N and 13C/12C ratios of plant matter during the initial stages of diagenesis: Studies utilizing archaeological specimens from Peru&lt;/title&gt;&lt;secondary-title&gt;Geochimica et Cosmochimica Acta&lt;/secondary-title&gt;&lt;/titles&gt;&lt;periodical&gt;&lt;full-title&gt;Geochimica et Cosmochimica Acta&lt;/full-title&gt;&lt;abbr-1&gt;Geochim Cosmochim Acta&lt;/abbr-1&gt;&lt;abbr-2&gt;Geochim. Cosmochim. Acta&lt;/abbr-2&gt;&lt;/periodical&gt;&lt;pages&gt;97-115&lt;/pages&gt;&lt;volume&gt;49&lt;/volume&gt;&lt;number&gt;1&lt;/number&gt;&lt;dates&gt;&lt;year&gt;1985&lt;/year&gt;&lt;/dates&gt;&lt;isbn&gt;0016-7037&lt;/isbn&gt;&lt;urls&gt;&lt;/urls&gt;&lt;/record&gt;&lt;/Cite&gt;&lt;/EndNote&gt;</w:instrText>
      </w:r>
      <w:r w:rsidRPr="00C271B2">
        <w:rPr>
          <w:rFonts w:ascii="Calibri" w:eastAsia="Times New Roman" w:hAnsi="Calibri" w:cs="Arial"/>
          <w:color w:val="000000" w:themeColor="text1"/>
          <w:szCs w:val="27"/>
        </w:rPr>
        <w:fldChar w:fldCharType="separate"/>
      </w:r>
      <w:r w:rsidRPr="00C271B2">
        <w:rPr>
          <w:rFonts w:ascii="Calibri" w:eastAsia="Times New Roman" w:hAnsi="Calibri" w:cs="Arial"/>
          <w:noProof/>
          <w:color w:val="000000" w:themeColor="text1"/>
          <w:szCs w:val="27"/>
        </w:rPr>
        <w:t>DeNiro &amp; Hastorf (1985)</w:t>
      </w:r>
      <w:r w:rsidRPr="00C271B2">
        <w:rPr>
          <w:rFonts w:ascii="Calibri" w:eastAsia="Times New Roman" w:hAnsi="Calibri" w:cs="Arial"/>
          <w:color w:val="000000" w:themeColor="text1"/>
          <w:szCs w:val="27"/>
        </w:rPr>
        <w:fldChar w:fldCharType="end"/>
      </w:r>
      <w:r w:rsidRPr="00C271B2">
        <w:rPr>
          <w:rFonts w:ascii="Calibri" w:eastAsia="Times New Roman" w:hAnsi="Calibri" w:cs="Arial"/>
          <w:color w:val="000000" w:themeColor="text1"/>
          <w:szCs w:val="27"/>
        </w:rPr>
        <w:t xml:space="preserve">. </w:t>
      </w:r>
    </w:p>
    <w:p w14:paraId="345ED9C6" w14:textId="77777777" w:rsidR="00027959" w:rsidRDefault="00027959" w:rsidP="00027959">
      <w:pPr>
        <w:rPr>
          <w:rFonts w:ascii="Calibri" w:eastAsia="Times New Roman" w:hAnsi="Calibri" w:cs="Arial"/>
          <w:color w:val="000000" w:themeColor="text1"/>
          <w:szCs w:val="27"/>
        </w:rPr>
      </w:pPr>
    </w:p>
    <w:p w14:paraId="35D56230" w14:textId="77777777" w:rsidR="00027959" w:rsidRDefault="00027959" w:rsidP="00027959">
      <w:r>
        <w:t xml:space="preserve">Reference: </w:t>
      </w:r>
    </w:p>
    <w:p w14:paraId="56249C6F" w14:textId="77777777" w:rsidR="00027959" w:rsidRDefault="00027959" w:rsidP="00027959"/>
    <w:p w14:paraId="559235B9" w14:textId="77777777" w:rsidR="00027959" w:rsidRPr="00E76D58" w:rsidRDefault="00027959" w:rsidP="00027959">
      <w:pPr>
        <w:pStyle w:val="EndNoteBibliography"/>
        <w:ind w:left="720" w:hanging="720"/>
        <w:rPr>
          <w:noProof/>
        </w:rPr>
      </w:pPr>
      <w:r w:rsidRPr="00E76D58">
        <w:rPr>
          <w:noProof/>
        </w:rPr>
        <w:t xml:space="preserve">Deniro, M. &amp; Hastorf, C. 1985. Alteration of </w:t>
      </w:r>
      <w:r w:rsidRPr="00E76D58">
        <w:rPr>
          <w:noProof/>
          <w:vertAlign w:val="superscript"/>
        </w:rPr>
        <w:t>15</w:t>
      </w:r>
      <w:r w:rsidRPr="00E76D58">
        <w:rPr>
          <w:noProof/>
        </w:rPr>
        <w:t>N/</w:t>
      </w:r>
      <w:r w:rsidRPr="00E76D58">
        <w:rPr>
          <w:noProof/>
          <w:vertAlign w:val="superscript"/>
        </w:rPr>
        <w:t>14</w:t>
      </w:r>
      <w:r w:rsidRPr="00E76D58">
        <w:rPr>
          <w:noProof/>
        </w:rPr>
        <w:t xml:space="preserve">N and </w:t>
      </w:r>
      <w:r w:rsidRPr="00E76D58">
        <w:rPr>
          <w:noProof/>
          <w:vertAlign w:val="superscript"/>
        </w:rPr>
        <w:t>13</w:t>
      </w:r>
      <w:r w:rsidRPr="00E76D58">
        <w:rPr>
          <w:noProof/>
        </w:rPr>
        <w:t>C/</w:t>
      </w:r>
      <w:r w:rsidRPr="00E76D58">
        <w:rPr>
          <w:noProof/>
          <w:vertAlign w:val="superscript"/>
        </w:rPr>
        <w:t>12</w:t>
      </w:r>
      <w:r w:rsidRPr="00E76D58">
        <w:rPr>
          <w:noProof/>
        </w:rPr>
        <w:t xml:space="preserve">C ratios of plant matter during the initial stages of diagenesis: Studies utilizing archaeological specimens from Peru. </w:t>
      </w:r>
      <w:r w:rsidRPr="00E76D58">
        <w:rPr>
          <w:i/>
          <w:noProof/>
        </w:rPr>
        <w:t>Geochima et Cosmochima Acta,</w:t>
      </w:r>
      <w:r w:rsidRPr="00E76D58">
        <w:rPr>
          <w:noProof/>
        </w:rPr>
        <w:t xml:space="preserve"> 49: 97-115.</w:t>
      </w:r>
    </w:p>
    <w:p w14:paraId="6523ED85" w14:textId="77777777" w:rsidR="00027959" w:rsidRPr="008833D4" w:rsidRDefault="00027959" w:rsidP="00027959"/>
    <w:p w14:paraId="4F2E03B5" w14:textId="41762B90" w:rsidR="009402A3" w:rsidRPr="00CC7626" w:rsidRDefault="009402A3" w:rsidP="00CC7626">
      <w:pPr>
        <w:autoSpaceDE w:val="0"/>
        <w:autoSpaceDN w:val="0"/>
        <w:adjustRightInd w:val="0"/>
        <w:jc w:val="both"/>
        <w:rPr>
          <w:rFonts w:ascii="Calibri" w:hAnsi="Calibri" w:cs="Calibri"/>
          <w:color w:val="231F20"/>
          <w:lang w:val="en-GB"/>
        </w:rPr>
      </w:pPr>
    </w:p>
    <w:sectPr w:rsidR="009402A3" w:rsidRPr="00CC7626" w:rsidSect="008D1806">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02z0t0tsez4espzc5d5rzw0p05vwftxzp&quot;&gt;Merged 25 Jan 2013&lt;record-ids&gt;&lt;item&gt;3716&lt;/item&gt;&lt;item&gt;4317&lt;/item&gt;&lt;item&gt;4318&lt;/item&gt;&lt;item&gt;4339&lt;/item&gt;&lt;item&gt;4346&lt;/item&gt;&lt;/record-ids&gt;&lt;/item&gt;&lt;/Libraries&gt;"/>
  </w:docVars>
  <w:rsids>
    <w:rsidRoot w:val="00C14CB9"/>
    <w:rsid w:val="00003E4A"/>
    <w:rsid w:val="0001060B"/>
    <w:rsid w:val="0001114D"/>
    <w:rsid w:val="00013A11"/>
    <w:rsid w:val="00022D82"/>
    <w:rsid w:val="00027959"/>
    <w:rsid w:val="00033F56"/>
    <w:rsid w:val="00037E4F"/>
    <w:rsid w:val="00044386"/>
    <w:rsid w:val="0005042E"/>
    <w:rsid w:val="00052AD9"/>
    <w:rsid w:val="00054DC8"/>
    <w:rsid w:val="00071CBE"/>
    <w:rsid w:val="000760A7"/>
    <w:rsid w:val="00077A64"/>
    <w:rsid w:val="00082C39"/>
    <w:rsid w:val="000906F0"/>
    <w:rsid w:val="0009193E"/>
    <w:rsid w:val="00097B5C"/>
    <w:rsid w:val="000A60F5"/>
    <w:rsid w:val="000B1544"/>
    <w:rsid w:val="000D2CDF"/>
    <w:rsid w:val="000E236F"/>
    <w:rsid w:val="00101F41"/>
    <w:rsid w:val="00104E9C"/>
    <w:rsid w:val="0011554F"/>
    <w:rsid w:val="00135CCF"/>
    <w:rsid w:val="001440C1"/>
    <w:rsid w:val="00145E70"/>
    <w:rsid w:val="001520FC"/>
    <w:rsid w:val="001567AB"/>
    <w:rsid w:val="00164D2A"/>
    <w:rsid w:val="00172A42"/>
    <w:rsid w:val="001757A7"/>
    <w:rsid w:val="00177D9B"/>
    <w:rsid w:val="001841DF"/>
    <w:rsid w:val="00193A83"/>
    <w:rsid w:val="001C6BA1"/>
    <w:rsid w:val="001E072E"/>
    <w:rsid w:val="001E4B8A"/>
    <w:rsid w:val="001E5C62"/>
    <w:rsid w:val="001F1B42"/>
    <w:rsid w:val="001F5235"/>
    <w:rsid w:val="001F737E"/>
    <w:rsid w:val="00201536"/>
    <w:rsid w:val="00201A71"/>
    <w:rsid w:val="00207772"/>
    <w:rsid w:val="0022008E"/>
    <w:rsid w:val="0022214F"/>
    <w:rsid w:val="00222734"/>
    <w:rsid w:val="00223C8A"/>
    <w:rsid w:val="00230A7A"/>
    <w:rsid w:val="00246D5E"/>
    <w:rsid w:val="0025009D"/>
    <w:rsid w:val="00251953"/>
    <w:rsid w:val="00252E0E"/>
    <w:rsid w:val="002551A1"/>
    <w:rsid w:val="0026164B"/>
    <w:rsid w:val="002636BA"/>
    <w:rsid w:val="0026424A"/>
    <w:rsid w:val="002649EF"/>
    <w:rsid w:val="00281894"/>
    <w:rsid w:val="002B6AB6"/>
    <w:rsid w:val="002C1336"/>
    <w:rsid w:val="002C14FF"/>
    <w:rsid w:val="002C3378"/>
    <w:rsid w:val="00310E03"/>
    <w:rsid w:val="00327DDD"/>
    <w:rsid w:val="0033687E"/>
    <w:rsid w:val="00346265"/>
    <w:rsid w:val="00355927"/>
    <w:rsid w:val="003570B9"/>
    <w:rsid w:val="0035713C"/>
    <w:rsid w:val="00363F15"/>
    <w:rsid w:val="0036520B"/>
    <w:rsid w:val="00365CB5"/>
    <w:rsid w:val="0036648F"/>
    <w:rsid w:val="003743EC"/>
    <w:rsid w:val="00386A5F"/>
    <w:rsid w:val="00392D7A"/>
    <w:rsid w:val="003938CF"/>
    <w:rsid w:val="003A0000"/>
    <w:rsid w:val="003A1B23"/>
    <w:rsid w:val="003A2707"/>
    <w:rsid w:val="003A6947"/>
    <w:rsid w:val="003C04E2"/>
    <w:rsid w:val="003D5068"/>
    <w:rsid w:val="003E1A7A"/>
    <w:rsid w:val="00400BE7"/>
    <w:rsid w:val="00401C58"/>
    <w:rsid w:val="0040684D"/>
    <w:rsid w:val="00415E5E"/>
    <w:rsid w:val="00421511"/>
    <w:rsid w:val="00430D6B"/>
    <w:rsid w:val="004374B2"/>
    <w:rsid w:val="004447A5"/>
    <w:rsid w:val="00445CD9"/>
    <w:rsid w:val="004502BD"/>
    <w:rsid w:val="00451232"/>
    <w:rsid w:val="00451589"/>
    <w:rsid w:val="00460A3C"/>
    <w:rsid w:val="004617BE"/>
    <w:rsid w:val="004731ED"/>
    <w:rsid w:val="004872BE"/>
    <w:rsid w:val="004910DB"/>
    <w:rsid w:val="0049603B"/>
    <w:rsid w:val="004A0956"/>
    <w:rsid w:val="004A41FC"/>
    <w:rsid w:val="004B2DF4"/>
    <w:rsid w:val="004B68D1"/>
    <w:rsid w:val="004B7C41"/>
    <w:rsid w:val="004C459D"/>
    <w:rsid w:val="004C5712"/>
    <w:rsid w:val="004D588D"/>
    <w:rsid w:val="004E3FA2"/>
    <w:rsid w:val="005021B2"/>
    <w:rsid w:val="00520B50"/>
    <w:rsid w:val="005210BB"/>
    <w:rsid w:val="0052609F"/>
    <w:rsid w:val="00547D36"/>
    <w:rsid w:val="005518CB"/>
    <w:rsid w:val="0056022D"/>
    <w:rsid w:val="00563148"/>
    <w:rsid w:val="005837DA"/>
    <w:rsid w:val="005924F7"/>
    <w:rsid w:val="005C355C"/>
    <w:rsid w:val="005E0444"/>
    <w:rsid w:val="005E052C"/>
    <w:rsid w:val="005F114D"/>
    <w:rsid w:val="00602730"/>
    <w:rsid w:val="00613FCA"/>
    <w:rsid w:val="00616AB2"/>
    <w:rsid w:val="00627F88"/>
    <w:rsid w:val="00640133"/>
    <w:rsid w:val="006534B6"/>
    <w:rsid w:val="0066785F"/>
    <w:rsid w:val="00672335"/>
    <w:rsid w:val="00684326"/>
    <w:rsid w:val="0068663A"/>
    <w:rsid w:val="0068753A"/>
    <w:rsid w:val="00690D3E"/>
    <w:rsid w:val="006944E7"/>
    <w:rsid w:val="006949D7"/>
    <w:rsid w:val="006A4BF3"/>
    <w:rsid w:val="006E0BFB"/>
    <w:rsid w:val="006E1D0E"/>
    <w:rsid w:val="006F0DB7"/>
    <w:rsid w:val="00701F98"/>
    <w:rsid w:val="00703073"/>
    <w:rsid w:val="007125BD"/>
    <w:rsid w:val="00721BFB"/>
    <w:rsid w:val="00735B80"/>
    <w:rsid w:val="0075053F"/>
    <w:rsid w:val="0075107E"/>
    <w:rsid w:val="00790415"/>
    <w:rsid w:val="0079572E"/>
    <w:rsid w:val="00795F85"/>
    <w:rsid w:val="007A0577"/>
    <w:rsid w:val="007A6D74"/>
    <w:rsid w:val="007B5479"/>
    <w:rsid w:val="007B5F28"/>
    <w:rsid w:val="007C33D5"/>
    <w:rsid w:val="007C432F"/>
    <w:rsid w:val="007C6C37"/>
    <w:rsid w:val="007D329A"/>
    <w:rsid w:val="007E2A82"/>
    <w:rsid w:val="007E4DD9"/>
    <w:rsid w:val="007E6098"/>
    <w:rsid w:val="007F35CA"/>
    <w:rsid w:val="00800A94"/>
    <w:rsid w:val="008027C5"/>
    <w:rsid w:val="00806790"/>
    <w:rsid w:val="00813F88"/>
    <w:rsid w:val="00816714"/>
    <w:rsid w:val="008170F0"/>
    <w:rsid w:val="0082646A"/>
    <w:rsid w:val="008447ED"/>
    <w:rsid w:val="00850A5C"/>
    <w:rsid w:val="00884A9C"/>
    <w:rsid w:val="00885EA7"/>
    <w:rsid w:val="0089756A"/>
    <w:rsid w:val="008A49E5"/>
    <w:rsid w:val="008B4108"/>
    <w:rsid w:val="008D55F8"/>
    <w:rsid w:val="008E06EF"/>
    <w:rsid w:val="008E551B"/>
    <w:rsid w:val="00934AFC"/>
    <w:rsid w:val="009402A3"/>
    <w:rsid w:val="0094047B"/>
    <w:rsid w:val="00963976"/>
    <w:rsid w:val="00970072"/>
    <w:rsid w:val="00983985"/>
    <w:rsid w:val="009A047F"/>
    <w:rsid w:val="009A7093"/>
    <w:rsid w:val="009A75D2"/>
    <w:rsid w:val="009B16C1"/>
    <w:rsid w:val="009B2B27"/>
    <w:rsid w:val="009B5FB0"/>
    <w:rsid w:val="009C2EB3"/>
    <w:rsid w:val="009F244D"/>
    <w:rsid w:val="009F41C8"/>
    <w:rsid w:val="009F44F0"/>
    <w:rsid w:val="00A05BAD"/>
    <w:rsid w:val="00A24A9E"/>
    <w:rsid w:val="00A2742A"/>
    <w:rsid w:val="00A31736"/>
    <w:rsid w:val="00A440E8"/>
    <w:rsid w:val="00A65B93"/>
    <w:rsid w:val="00A67208"/>
    <w:rsid w:val="00A834B3"/>
    <w:rsid w:val="00A937D7"/>
    <w:rsid w:val="00AA2280"/>
    <w:rsid w:val="00AA485F"/>
    <w:rsid w:val="00AA5063"/>
    <w:rsid w:val="00AB0B32"/>
    <w:rsid w:val="00AC54F0"/>
    <w:rsid w:val="00AD2631"/>
    <w:rsid w:val="00AE18C0"/>
    <w:rsid w:val="00AE1B90"/>
    <w:rsid w:val="00AE6451"/>
    <w:rsid w:val="00B23D78"/>
    <w:rsid w:val="00B27DAA"/>
    <w:rsid w:val="00B54215"/>
    <w:rsid w:val="00B5537C"/>
    <w:rsid w:val="00B64511"/>
    <w:rsid w:val="00B707F7"/>
    <w:rsid w:val="00B8417E"/>
    <w:rsid w:val="00B874F9"/>
    <w:rsid w:val="00B928B2"/>
    <w:rsid w:val="00BA03A8"/>
    <w:rsid w:val="00BA0DC1"/>
    <w:rsid w:val="00BB1061"/>
    <w:rsid w:val="00BC2B0F"/>
    <w:rsid w:val="00BD11A7"/>
    <w:rsid w:val="00BD2DF4"/>
    <w:rsid w:val="00BD6E01"/>
    <w:rsid w:val="00BE4E9D"/>
    <w:rsid w:val="00BE4F7D"/>
    <w:rsid w:val="00BF31DF"/>
    <w:rsid w:val="00BF593E"/>
    <w:rsid w:val="00C01AE7"/>
    <w:rsid w:val="00C059E8"/>
    <w:rsid w:val="00C11EC5"/>
    <w:rsid w:val="00C12252"/>
    <w:rsid w:val="00C14CB9"/>
    <w:rsid w:val="00C25C53"/>
    <w:rsid w:val="00C302F9"/>
    <w:rsid w:val="00C40024"/>
    <w:rsid w:val="00C65B1D"/>
    <w:rsid w:val="00C67A59"/>
    <w:rsid w:val="00C80DDA"/>
    <w:rsid w:val="00C86012"/>
    <w:rsid w:val="00C96927"/>
    <w:rsid w:val="00CA456D"/>
    <w:rsid w:val="00CA6C4D"/>
    <w:rsid w:val="00CA6F96"/>
    <w:rsid w:val="00CB39AE"/>
    <w:rsid w:val="00CC67F0"/>
    <w:rsid w:val="00CC7626"/>
    <w:rsid w:val="00CD4246"/>
    <w:rsid w:val="00CE3208"/>
    <w:rsid w:val="00CF5C3F"/>
    <w:rsid w:val="00CF741C"/>
    <w:rsid w:val="00D002F5"/>
    <w:rsid w:val="00D04EBA"/>
    <w:rsid w:val="00D123A0"/>
    <w:rsid w:val="00D15EF4"/>
    <w:rsid w:val="00D1640D"/>
    <w:rsid w:val="00D170EA"/>
    <w:rsid w:val="00D3170F"/>
    <w:rsid w:val="00D3797F"/>
    <w:rsid w:val="00D4632D"/>
    <w:rsid w:val="00D47A14"/>
    <w:rsid w:val="00D71672"/>
    <w:rsid w:val="00D83D09"/>
    <w:rsid w:val="00D94695"/>
    <w:rsid w:val="00D96DE8"/>
    <w:rsid w:val="00DB09B0"/>
    <w:rsid w:val="00DB2619"/>
    <w:rsid w:val="00DB35B2"/>
    <w:rsid w:val="00DB61EB"/>
    <w:rsid w:val="00DD0F6B"/>
    <w:rsid w:val="00DD1CC3"/>
    <w:rsid w:val="00DD32A5"/>
    <w:rsid w:val="00DE6071"/>
    <w:rsid w:val="00E202CC"/>
    <w:rsid w:val="00E2088B"/>
    <w:rsid w:val="00E23393"/>
    <w:rsid w:val="00E25BDD"/>
    <w:rsid w:val="00E26336"/>
    <w:rsid w:val="00E33DD8"/>
    <w:rsid w:val="00E429B8"/>
    <w:rsid w:val="00E43C62"/>
    <w:rsid w:val="00E46C36"/>
    <w:rsid w:val="00E5122C"/>
    <w:rsid w:val="00E53AC7"/>
    <w:rsid w:val="00E7136F"/>
    <w:rsid w:val="00E73B8E"/>
    <w:rsid w:val="00E73DE9"/>
    <w:rsid w:val="00E750BA"/>
    <w:rsid w:val="00E778BB"/>
    <w:rsid w:val="00E81647"/>
    <w:rsid w:val="00E81675"/>
    <w:rsid w:val="00E92BE5"/>
    <w:rsid w:val="00EA4B79"/>
    <w:rsid w:val="00EB2CF0"/>
    <w:rsid w:val="00EC24C2"/>
    <w:rsid w:val="00EE66B4"/>
    <w:rsid w:val="00EF1059"/>
    <w:rsid w:val="00F11B59"/>
    <w:rsid w:val="00F12CE2"/>
    <w:rsid w:val="00F13698"/>
    <w:rsid w:val="00F14BFF"/>
    <w:rsid w:val="00F24CE6"/>
    <w:rsid w:val="00F339FB"/>
    <w:rsid w:val="00F34135"/>
    <w:rsid w:val="00F35C2D"/>
    <w:rsid w:val="00F5323B"/>
    <w:rsid w:val="00F54FA0"/>
    <w:rsid w:val="00F747E8"/>
    <w:rsid w:val="00F80B92"/>
    <w:rsid w:val="00FA1DFA"/>
    <w:rsid w:val="00FA3188"/>
    <w:rsid w:val="00FB2E52"/>
    <w:rsid w:val="00FD1BCE"/>
    <w:rsid w:val="00FD3EEA"/>
    <w:rsid w:val="00FE1ED4"/>
    <w:rsid w:val="00FF0A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9648"/>
  <w15:chartTrackingRefBased/>
  <w15:docId w15:val="{75F111B2-4B85-7E4D-A713-54C90AC2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1672"/>
    <w:rPr>
      <w:sz w:val="18"/>
      <w:szCs w:val="18"/>
    </w:rPr>
  </w:style>
  <w:style w:type="paragraph" w:styleId="CommentText">
    <w:name w:val="annotation text"/>
    <w:basedOn w:val="Normal"/>
    <w:link w:val="CommentTextChar"/>
    <w:uiPriority w:val="99"/>
    <w:semiHidden/>
    <w:unhideWhenUsed/>
    <w:rsid w:val="00D71672"/>
    <w:rPr>
      <w:rFonts w:ascii="Times" w:eastAsiaTheme="minorEastAsia" w:hAnsi="Times"/>
      <w:lang w:val="en-GB"/>
    </w:rPr>
  </w:style>
  <w:style w:type="character" w:customStyle="1" w:styleId="CommentTextChar">
    <w:name w:val="Comment Text Char"/>
    <w:basedOn w:val="DefaultParagraphFont"/>
    <w:link w:val="CommentText"/>
    <w:uiPriority w:val="99"/>
    <w:semiHidden/>
    <w:rsid w:val="00D71672"/>
    <w:rPr>
      <w:rFonts w:ascii="Times" w:eastAsiaTheme="minorEastAsia" w:hAnsi="Times"/>
      <w:lang w:val="en-GB"/>
    </w:rPr>
  </w:style>
  <w:style w:type="paragraph" w:styleId="BalloonText">
    <w:name w:val="Balloon Text"/>
    <w:basedOn w:val="Normal"/>
    <w:link w:val="BalloonTextChar"/>
    <w:uiPriority w:val="99"/>
    <w:semiHidden/>
    <w:unhideWhenUsed/>
    <w:rsid w:val="00D716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1672"/>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9402A3"/>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402A3"/>
    <w:rPr>
      <w:rFonts w:ascii="Calibri" w:hAnsi="Calibri" w:cs="Calibri"/>
      <w:lang w:val="en-US"/>
    </w:rPr>
  </w:style>
  <w:style w:type="paragraph" w:customStyle="1" w:styleId="EndNoteBibliography">
    <w:name w:val="EndNote Bibliography"/>
    <w:basedOn w:val="Normal"/>
    <w:link w:val="EndNoteBibliographyChar"/>
    <w:rsid w:val="009402A3"/>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9402A3"/>
    <w:rPr>
      <w:rFonts w:ascii="Calibri" w:hAnsi="Calibri" w:cs="Calibri"/>
      <w:lang w:val="en-US"/>
    </w:rPr>
  </w:style>
  <w:style w:type="table" w:styleId="TableGrid">
    <w:name w:val="Table Grid"/>
    <w:basedOn w:val="TableNormal"/>
    <w:uiPriority w:val="39"/>
    <w:rsid w:val="000279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29850">
      <w:bodyDiv w:val="1"/>
      <w:marLeft w:val="0"/>
      <w:marRight w:val="0"/>
      <w:marTop w:val="0"/>
      <w:marBottom w:val="0"/>
      <w:divBdr>
        <w:top w:val="none" w:sz="0" w:space="0" w:color="auto"/>
        <w:left w:val="none" w:sz="0" w:space="0" w:color="auto"/>
        <w:bottom w:val="none" w:sz="0" w:space="0" w:color="auto"/>
        <w:right w:val="none" w:sz="0" w:space="0" w:color="auto"/>
      </w:divBdr>
      <w:divsChild>
        <w:div w:id="1121340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4263">
              <w:marLeft w:val="0"/>
              <w:marRight w:val="0"/>
              <w:marTop w:val="0"/>
              <w:marBottom w:val="0"/>
              <w:divBdr>
                <w:top w:val="none" w:sz="0" w:space="0" w:color="auto"/>
                <w:left w:val="none" w:sz="0" w:space="0" w:color="auto"/>
                <w:bottom w:val="none" w:sz="0" w:space="0" w:color="auto"/>
                <w:right w:val="none" w:sz="0" w:space="0" w:color="auto"/>
              </w:divBdr>
              <w:divsChild>
                <w:div w:id="1782068863">
                  <w:marLeft w:val="0"/>
                  <w:marRight w:val="0"/>
                  <w:marTop w:val="0"/>
                  <w:marBottom w:val="0"/>
                  <w:divBdr>
                    <w:top w:val="none" w:sz="0" w:space="0" w:color="auto"/>
                    <w:left w:val="none" w:sz="0" w:space="0" w:color="auto"/>
                    <w:bottom w:val="none" w:sz="0" w:space="0" w:color="auto"/>
                    <w:right w:val="none" w:sz="0" w:space="0" w:color="auto"/>
                  </w:divBdr>
                  <w:divsChild>
                    <w:div w:id="1418941722">
                      <w:marLeft w:val="0"/>
                      <w:marRight w:val="0"/>
                      <w:marTop w:val="0"/>
                      <w:marBottom w:val="0"/>
                      <w:divBdr>
                        <w:top w:val="none" w:sz="0" w:space="0" w:color="auto"/>
                        <w:left w:val="none" w:sz="0" w:space="0" w:color="auto"/>
                        <w:bottom w:val="none" w:sz="0" w:space="0" w:color="auto"/>
                        <w:right w:val="none" w:sz="0" w:space="0" w:color="auto"/>
                      </w:divBdr>
                      <w:divsChild>
                        <w:div w:id="964656005">
                          <w:marLeft w:val="0"/>
                          <w:marRight w:val="0"/>
                          <w:marTop w:val="0"/>
                          <w:marBottom w:val="0"/>
                          <w:divBdr>
                            <w:top w:val="none" w:sz="0" w:space="0" w:color="auto"/>
                            <w:left w:val="none" w:sz="0" w:space="0" w:color="auto"/>
                            <w:bottom w:val="none" w:sz="0" w:space="0" w:color="auto"/>
                            <w:right w:val="none" w:sz="0" w:space="0" w:color="auto"/>
                          </w:divBdr>
                          <w:divsChild>
                            <w:div w:id="381712480">
                              <w:marLeft w:val="0"/>
                              <w:marRight w:val="0"/>
                              <w:marTop w:val="0"/>
                              <w:marBottom w:val="0"/>
                              <w:divBdr>
                                <w:top w:val="none" w:sz="0" w:space="0" w:color="auto"/>
                                <w:left w:val="none" w:sz="0" w:space="0" w:color="auto"/>
                                <w:bottom w:val="none" w:sz="0" w:space="0" w:color="auto"/>
                                <w:right w:val="none" w:sz="0" w:space="0" w:color="auto"/>
                              </w:divBdr>
                              <w:divsChild>
                                <w:div w:id="1936555608">
                                  <w:marLeft w:val="0"/>
                                  <w:marRight w:val="0"/>
                                  <w:marTop w:val="0"/>
                                  <w:marBottom w:val="0"/>
                                  <w:divBdr>
                                    <w:top w:val="none" w:sz="0" w:space="0" w:color="auto"/>
                                    <w:left w:val="none" w:sz="0" w:space="0" w:color="auto"/>
                                    <w:bottom w:val="none" w:sz="0" w:space="0" w:color="auto"/>
                                    <w:right w:val="none" w:sz="0" w:space="0" w:color="auto"/>
                                  </w:divBdr>
                                  <w:divsChild>
                                    <w:div w:id="550190604">
                                      <w:marLeft w:val="0"/>
                                      <w:marRight w:val="0"/>
                                      <w:marTop w:val="0"/>
                                      <w:marBottom w:val="0"/>
                                      <w:divBdr>
                                        <w:top w:val="none" w:sz="0" w:space="0" w:color="auto"/>
                                        <w:left w:val="none" w:sz="0" w:space="0" w:color="auto"/>
                                        <w:bottom w:val="none" w:sz="0" w:space="0" w:color="auto"/>
                                        <w:right w:val="none" w:sz="0" w:space="0" w:color="auto"/>
                                      </w:divBdr>
                                      <w:divsChild>
                                        <w:div w:id="1808618316">
                                          <w:marLeft w:val="0"/>
                                          <w:marRight w:val="0"/>
                                          <w:marTop w:val="0"/>
                                          <w:marBottom w:val="0"/>
                                          <w:divBdr>
                                            <w:top w:val="none" w:sz="0" w:space="0" w:color="auto"/>
                                            <w:left w:val="none" w:sz="0" w:space="0" w:color="auto"/>
                                            <w:bottom w:val="none" w:sz="0" w:space="0" w:color="auto"/>
                                            <w:right w:val="none" w:sz="0" w:space="0" w:color="auto"/>
                                          </w:divBdr>
                                          <w:divsChild>
                                            <w:div w:id="1120416037">
                                              <w:marLeft w:val="0"/>
                                              <w:marRight w:val="0"/>
                                              <w:marTop w:val="0"/>
                                              <w:marBottom w:val="0"/>
                                              <w:divBdr>
                                                <w:top w:val="none" w:sz="0" w:space="0" w:color="auto"/>
                                                <w:left w:val="none" w:sz="0" w:space="0" w:color="auto"/>
                                                <w:bottom w:val="none" w:sz="0" w:space="0" w:color="auto"/>
                                                <w:right w:val="none" w:sz="0" w:space="0" w:color="auto"/>
                                              </w:divBdr>
                                              <w:divsChild>
                                                <w:div w:id="2124223751">
                                                  <w:marLeft w:val="0"/>
                                                  <w:marRight w:val="0"/>
                                                  <w:marTop w:val="0"/>
                                                  <w:marBottom w:val="0"/>
                                                  <w:divBdr>
                                                    <w:top w:val="none" w:sz="0" w:space="0" w:color="auto"/>
                                                    <w:left w:val="none" w:sz="0" w:space="0" w:color="auto"/>
                                                    <w:bottom w:val="none" w:sz="0" w:space="0" w:color="auto"/>
                                                    <w:right w:val="none" w:sz="0" w:space="0" w:color="auto"/>
                                                  </w:divBdr>
                                                  <w:divsChild>
                                                    <w:div w:id="1251885397">
                                                      <w:marLeft w:val="0"/>
                                                      <w:marRight w:val="0"/>
                                                      <w:marTop w:val="0"/>
                                                      <w:marBottom w:val="0"/>
                                                      <w:divBdr>
                                                        <w:top w:val="none" w:sz="0" w:space="0" w:color="auto"/>
                                                        <w:left w:val="none" w:sz="0" w:space="0" w:color="auto"/>
                                                        <w:bottom w:val="none" w:sz="0" w:space="0" w:color="auto"/>
                                                        <w:right w:val="none" w:sz="0" w:space="0" w:color="auto"/>
                                                      </w:divBdr>
                                                      <w:divsChild>
                                                        <w:div w:id="662317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323587">
                                                              <w:marLeft w:val="0"/>
                                                              <w:marRight w:val="0"/>
                                                              <w:marTop w:val="0"/>
                                                              <w:marBottom w:val="0"/>
                                                              <w:divBdr>
                                                                <w:top w:val="none" w:sz="0" w:space="0" w:color="auto"/>
                                                                <w:left w:val="none" w:sz="0" w:space="0" w:color="auto"/>
                                                                <w:bottom w:val="none" w:sz="0" w:space="0" w:color="auto"/>
                                                                <w:right w:val="none" w:sz="0" w:space="0" w:color="auto"/>
                                                              </w:divBdr>
                                                              <w:divsChild>
                                                                <w:div w:id="1751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413220">
      <w:bodyDiv w:val="1"/>
      <w:marLeft w:val="0"/>
      <w:marRight w:val="0"/>
      <w:marTop w:val="0"/>
      <w:marBottom w:val="0"/>
      <w:divBdr>
        <w:top w:val="none" w:sz="0" w:space="0" w:color="auto"/>
        <w:left w:val="none" w:sz="0" w:space="0" w:color="auto"/>
        <w:bottom w:val="none" w:sz="0" w:space="0" w:color="auto"/>
        <w:right w:val="none" w:sz="0" w:space="0" w:color="auto"/>
      </w:divBdr>
      <w:divsChild>
        <w:div w:id="204491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243399">
              <w:marLeft w:val="0"/>
              <w:marRight w:val="0"/>
              <w:marTop w:val="0"/>
              <w:marBottom w:val="0"/>
              <w:divBdr>
                <w:top w:val="none" w:sz="0" w:space="0" w:color="auto"/>
                <w:left w:val="none" w:sz="0" w:space="0" w:color="auto"/>
                <w:bottom w:val="none" w:sz="0" w:space="0" w:color="auto"/>
                <w:right w:val="none" w:sz="0" w:space="0" w:color="auto"/>
              </w:divBdr>
              <w:divsChild>
                <w:div w:id="2102600104">
                  <w:marLeft w:val="0"/>
                  <w:marRight w:val="0"/>
                  <w:marTop w:val="0"/>
                  <w:marBottom w:val="0"/>
                  <w:divBdr>
                    <w:top w:val="none" w:sz="0" w:space="0" w:color="auto"/>
                    <w:left w:val="none" w:sz="0" w:space="0" w:color="auto"/>
                    <w:bottom w:val="none" w:sz="0" w:space="0" w:color="auto"/>
                    <w:right w:val="none" w:sz="0" w:space="0" w:color="auto"/>
                  </w:divBdr>
                  <w:divsChild>
                    <w:div w:id="8801088">
                      <w:marLeft w:val="0"/>
                      <w:marRight w:val="0"/>
                      <w:marTop w:val="0"/>
                      <w:marBottom w:val="0"/>
                      <w:divBdr>
                        <w:top w:val="none" w:sz="0" w:space="0" w:color="auto"/>
                        <w:left w:val="none" w:sz="0" w:space="0" w:color="auto"/>
                        <w:bottom w:val="none" w:sz="0" w:space="0" w:color="auto"/>
                        <w:right w:val="none" w:sz="0" w:space="0" w:color="auto"/>
                      </w:divBdr>
                      <w:divsChild>
                        <w:div w:id="1483305228">
                          <w:marLeft w:val="0"/>
                          <w:marRight w:val="0"/>
                          <w:marTop w:val="0"/>
                          <w:marBottom w:val="0"/>
                          <w:divBdr>
                            <w:top w:val="none" w:sz="0" w:space="0" w:color="auto"/>
                            <w:left w:val="none" w:sz="0" w:space="0" w:color="auto"/>
                            <w:bottom w:val="none" w:sz="0" w:space="0" w:color="auto"/>
                            <w:right w:val="none" w:sz="0" w:space="0" w:color="auto"/>
                          </w:divBdr>
                          <w:divsChild>
                            <w:div w:id="1959218010">
                              <w:marLeft w:val="0"/>
                              <w:marRight w:val="0"/>
                              <w:marTop w:val="0"/>
                              <w:marBottom w:val="0"/>
                              <w:divBdr>
                                <w:top w:val="none" w:sz="0" w:space="0" w:color="auto"/>
                                <w:left w:val="none" w:sz="0" w:space="0" w:color="auto"/>
                                <w:bottom w:val="none" w:sz="0" w:space="0" w:color="auto"/>
                                <w:right w:val="none" w:sz="0" w:space="0" w:color="auto"/>
                              </w:divBdr>
                              <w:divsChild>
                                <w:div w:id="1449857572">
                                  <w:marLeft w:val="0"/>
                                  <w:marRight w:val="0"/>
                                  <w:marTop w:val="0"/>
                                  <w:marBottom w:val="0"/>
                                  <w:divBdr>
                                    <w:top w:val="none" w:sz="0" w:space="0" w:color="auto"/>
                                    <w:left w:val="none" w:sz="0" w:space="0" w:color="auto"/>
                                    <w:bottom w:val="none" w:sz="0" w:space="0" w:color="auto"/>
                                    <w:right w:val="none" w:sz="0" w:space="0" w:color="auto"/>
                                  </w:divBdr>
                                  <w:divsChild>
                                    <w:div w:id="2048140156">
                                      <w:marLeft w:val="0"/>
                                      <w:marRight w:val="0"/>
                                      <w:marTop w:val="0"/>
                                      <w:marBottom w:val="0"/>
                                      <w:divBdr>
                                        <w:top w:val="none" w:sz="0" w:space="0" w:color="auto"/>
                                        <w:left w:val="none" w:sz="0" w:space="0" w:color="auto"/>
                                        <w:bottom w:val="none" w:sz="0" w:space="0" w:color="auto"/>
                                        <w:right w:val="none" w:sz="0" w:space="0" w:color="auto"/>
                                      </w:divBdr>
                                      <w:divsChild>
                                        <w:div w:id="1753890193">
                                          <w:marLeft w:val="0"/>
                                          <w:marRight w:val="0"/>
                                          <w:marTop w:val="0"/>
                                          <w:marBottom w:val="0"/>
                                          <w:divBdr>
                                            <w:top w:val="none" w:sz="0" w:space="0" w:color="auto"/>
                                            <w:left w:val="none" w:sz="0" w:space="0" w:color="auto"/>
                                            <w:bottom w:val="none" w:sz="0" w:space="0" w:color="auto"/>
                                            <w:right w:val="none" w:sz="0" w:space="0" w:color="auto"/>
                                          </w:divBdr>
                                          <w:divsChild>
                                            <w:div w:id="1153375447">
                                              <w:marLeft w:val="0"/>
                                              <w:marRight w:val="0"/>
                                              <w:marTop w:val="0"/>
                                              <w:marBottom w:val="0"/>
                                              <w:divBdr>
                                                <w:top w:val="none" w:sz="0" w:space="0" w:color="auto"/>
                                                <w:left w:val="none" w:sz="0" w:space="0" w:color="auto"/>
                                                <w:bottom w:val="none" w:sz="0" w:space="0" w:color="auto"/>
                                                <w:right w:val="none" w:sz="0" w:space="0" w:color="auto"/>
                                              </w:divBdr>
                                              <w:divsChild>
                                                <w:div w:id="1366249316">
                                                  <w:marLeft w:val="0"/>
                                                  <w:marRight w:val="0"/>
                                                  <w:marTop w:val="0"/>
                                                  <w:marBottom w:val="0"/>
                                                  <w:divBdr>
                                                    <w:top w:val="none" w:sz="0" w:space="0" w:color="auto"/>
                                                    <w:left w:val="none" w:sz="0" w:space="0" w:color="auto"/>
                                                    <w:bottom w:val="none" w:sz="0" w:space="0" w:color="auto"/>
                                                    <w:right w:val="none" w:sz="0" w:space="0" w:color="auto"/>
                                                  </w:divBdr>
                                                  <w:divsChild>
                                                    <w:div w:id="2078940447">
                                                      <w:marLeft w:val="0"/>
                                                      <w:marRight w:val="0"/>
                                                      <w:marTop w:val="0"/>
                                                      <w:marBottom w:val="0"/>
                                                      <w:divBdr>
                                                        <w:top w:val="none" w:sz="0" w:space="0" w:color="auto"/>
                                                        <w:left w:val="none" w:sz="0" w:space="0" w:color="auto"/>
                                                        <w:bottom w:val="none" w:sz="0" w:space="0" w:color="auto"/>
                                                        <w:right w:val="none" w:sz="0" w:space="0" w:color="auto"/>
                                                      </w:divBdr>
                                                      <w:divsChild>
                                                        <w:div w:id="3644068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3346745">
                                                              <w:marLeft w:val="0"/>
                                                              <w:marRight w:val="0"/>
                                                              <w:marTop w:val="0"/>
                                                              <w:marBottom w:val="0"/>
                                                              <w:divBdr>
                                                                <w:top w:val="none" w:sz="0" w:space="0" w:color="auto"/>
                                                                <w:left w:val="none" w:sz="0" w:space="0" w:color="auto"/>
                                                                <w:bottom w:val="none" w:sz="0" w:space="0" w:color="auto"/>
                                                                <w:right w:val="none" w:sz="0" w:space="0" w:color="auto"/>
                                                              </w:divBdr>
                                                              <w:divsChild>
                                                                <w:div w:id="762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King</dc:creator>
  <cp:keywords/>
  <dc:description/>
  <cp:lastModifiedBy>Ethan Cochrane</cp:lastModifiedBy>
  <cp:revision>2</cp:revision>
  <dcterms:created xsi:type="dcterms:W3CDTF">2022-01-26T22:12:00Z</dcterms:created>
  <dcterms:modified xsi:type="dcterms:W3CDTF">2022-01-26T22:12:00Z</dcterms:modified>
</cp:coreProperties>
</file>